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1620"/>
        <w:gridCol w:w="1695"/>
        <w:gridCol w:w="1455"/>
        <w:gridCol w:w="2070"/>
        <w:gridCol w:w="2265"/>
        <w:gridCol w:w="3510"/>
        <w:gridCol w:w="105"/>
        <w:tblGridChange w:id="0">
          <w:tblGrid>
            <w:gridCol w:w="1665"/>
            <w:gridCol w:w="1620"/>
            <w:gridCol w:w="1695"/>
            <w:gridCol w:w="1455"/>
            <w:gridCol w:w="2070"/>
            <w:gridCol w:w="2265"/>
            <w:gridCol w:w="3510"/>
            <w:gridCol w:w="105"/>
          </w:tblGrid>
        </w:tblGridChange>
      </w:tblGrid>
      <w:tr>
        <w:trPr>
          <w:cantSplit w:val="0"/>
          <w:trHeight w:val="70" w:hRule="atLeast"/>
          <w:tblHeader w:val="0"/>
        </w:trPr>
        <w:tc>
          <w:tcPr>
            <w:gridSpan w:val="7"/>
            <w:vAlign w:val="center"/>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Matriz de Datos</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Repertorio de acción colectiva derechista en Argentina: conjunto de acciones que logró estructurarse durante el siglo XXI y que estuvieron protagonizadas por las clases medias urbanas, cuyas peticiones giraron torno al resguardo propiedad, de la seguridad y de la familia y su formato fueron el caceroleo y la manifestación pública. </w:t>
            </w:r>
          </w:p>
          <w:p w:rsidR="00000000" w:rsidDel="00000000" w:rsidP="00000000" w:rsidRDefault="00000000" w:rsidRPr="00000000" w14:paraId="00000004">
            <w:pPr>
              <w:jc w:val="center"/>
              <w:rPr>
                <w:sz w:val="24"/>
                <w:szCs w:val="24"/>
              </w:rPr>
            </w:pPr>
            <w:r w:rsidDel="00000000" w:rsidR="00000000" w:rsidRPr="00000000">
              <w:rPr>
                <w:rtl w:val="0"/>
              </w:rPr>
            </w:r>
          </w:p>
        </w:tc>
      </w:tr>
      <w:tr>
        <w:trPr>
          <w:cantSplit w:val="0"/>
          <w:trHeight w:val="256" w:hRule="atLeast"/>
          <w:tblHeader w:val="0"/>
        </w:trPr>
        <w:tc>
          <w:tcPr>
            <w:gridSpan w:val="2"/>
            <w:vAlign w:val="center"/>
          </w:tcPr>
          <w:p w:rsidR="00000000" w:rsidDel="00000000" w:rsidP="00000000" w:rsidRDefault="00000000" w:rsidRPr="00000000" w14:paraId="0000000B">
            <w:pPr>
              <w:jc w:val="center"/>
              <w:rPr/>
            </w:pPr>
            <w:r w:rsidDel="00000000" w:rsidR="00000000" w:rsidRPr="00000000">
              <w:rPr>
                <w:rtl w:val="0"/>
              </w:rPr>
              <w:t xml:space="preserve">Dimensiones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057400" cy="1523365"/>
                      <wp:effectExtent b="0" l="0" r="0" t="0"/>
                      <wp:wrapNone/>
                      <wp:docPr id="2" name=""/>
                      <a:graphic>
                        <a:graphicData uri="http://schemas.microsoft.com/office/word/2010/wordprocessingShape">
                          <wps:wsp>
                            <wps:cNvCnPr/>
                            <wps:spPr>
                              <a:xfrm>
                                <a:off x="4322063" y="3023080"/>
                                <a:ext cx="2047875" cy="151384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057400" cy="152336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7400" cy="1523365"/>
                              </a:xfrm>
                              <a:prstGeom prst="rect"/>
                              <a:ln/>
                            </pic:spPr>
                          </pic:pic>
                        </a:graphicData>
                      </a:graphic>
                    </wp:anchor>
                  </w:drawing>
                </mc:Fallback>
              </mc:AlternateConten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Tipo de Acciones</w:t>
            </w:r>
          </w:p>
          <w:p w:rsidR="00000000" w:rsidDel="00000000" w:rsidP="00000000" w:rsidRDefault="00000000" w:rsidRPr="00000000" w14:paraId="00000010">
            <w:pPr>
              <w:rPr/>
            </w:pPr>
            <w:r w:rsidDel="00000000" w:rsidR="00000000" w:rsidRPr="00000000">
              <w:rPr>
                <w:rtl w:val="0"/>
              </w:rPr>
              <w:t xml:space="preserve"> contenciosas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Sujetos que protagonizan la protesta</w:t>
            </w:r>
          </w:p>
        </w:tc>
        <w:tc>
          <w:tcPr/>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Formato de la protesta</w:t>
            </w:r>
          </w:p>
        </w:tc>
        <w:tc>
          <w:tcPr/>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Tipo de reclamo</w:t>
            </w:r>
          </w:p>
        </w:tc>
        <w:tc>
          <w:tcPr/>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Respuestas del régimen político al accionar contencioso</w:t>
            </w:r>
          </w:p>
        </w:tc>
        <w:tc>
          <w:tcPr>
            <w:gridSpan w:val="2"/>
          </w:tcPr>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Circulación de discursos y temas de la protesta en el espacio público </w:t>
            </w:r>
          </w:p>
        </w:tc>
      </w:tr>
      <w:tr>
        <w:trPr>
          <w:cantSplit w:val="0"/>
          <w:trHeight w:val="1370" w:hRule="atLeast"/>
          <w:tblHeader w:val="0"/>
        </w:trPr>
        <w:tc>
          <w:tcPr>
            <w:vMerge w:val="restart"/>
            <w:vAlign w:val="center"/>
          </w:tcPr>
          <w:p w:rsidR="00000000" w:rsidDel="00000000" w:rsidP="00000000" w:rsidRDefault="00000000" w:rsidRPr="00000000" w14:paraId="00000025">
            <w:pPr>
              <w:rPr/>
            </w:pPr>
            <w:r w:rsidDel="00000000" w:rsidR="00000000" w:rsidRPr="00000000">
              <w:rPr>
                <w:rtl w:val="0"/>
              </w:rPr>
              <w:t xml:space="preserve">Protestas en resguardo de la propiedad</w:t>
            </w:r>
          </w:p>
        </w:tc>
        <w:tc>
          <w:tcPr>
            <w:vAlign w:val="center"/>
          </w:tcPr>
          <w:p w:rsidR="00000000" w:rsidDel="00000000" w:rsidP="00000000" w:rsidRDefault="00000000" w:rsidRPr="00000000" w14:paraId="00000026">
            <w:pPr>
              <w:rPr/>
            </w:pPr>
            <w:r w:rsidDel="00000000" w:rsidR="00000000" w:rsidRPr="00000000">
              <w:rPr>
                <w:rtl w:val="0"/>
              </w:rPr>
              <w:t xml:space="preserve">Protesta de los ahorristas, 2001-2003</w:t>
            </w:r>
          </w:p>
        </w:tc>
        <w:tc>
          <w:tcPr/>
          <w:p w:rsidR="00000000" w:rsidDel="00000000" w:rsidP="00000000" w:rsidRDefault="00000000" w:rsidRPr="00000000" w14:paraId="00000027">
            <w:pPr>
              <w:jc w:val="center"/>
              <w:rPr>
                <w:sz w:val="16"/>
                <w:szCs w:val="16"/>
              </w:rPr>
            </w:pPr>
            <w:r w:rsidDel="00000000" w:rsidR="00000000" w:rsidRPr="00000000">
              <w:rPr>
                <w:rtl w:val="0"/>
              </w:rPr>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jc w:val="center"/>
              <w:rPr>
                <w:sz w:val="16"/>
                <w:szCs w:val="16"/>
              </w:rPr>
            </w:pPr>
            <w:r w:rsidDel="00000000" w:rsidR="00000000" w:rsidRPr="00000000">
              <w:rPr>
                <w:sz w:val="16"/>
                <w:szCs w:val="16"/>
                <w:rtl w:val="0"/>
              </w:rPr>
              <w:t xml:space="preserve">Clases medias urbanas. Se identificaban como “Ahorristas estafados”. Se crearon organizaciones como las de Ahorristas Bancarios Argentinos Estafados (ABAE) y la Asociación de Ahorristas de la República Argentina (AARA)</w:t>
            </w:r>
          </w:p>
        </w:tc>
        <w:tc>
          <w:tcPr/>
          <w:p w:rsidR="00000000" w:rsidDel="00000000" w:rsidP="00000000" w:rsidRDefault="00000000" w:rsidRPr="00000000" w14:paraId="0000002A">
            <w:pPr>
              <w:jc w:val="center"/>
              <w:rPr>
                <w:sz w:val="16"/>
                <w:szCs w:val="16"/>
              </w:rPr>
            </w:pPr>
            <w:r w:rsidDel="00000000" w:rsidR="00000000" w:rsidRPr="00000000">
              <w:rPr>
                <w:rtl w:val="0"/>
              </w:rPr>
            </w:r>
          </w:p>
          <w:p w:rsidR="00000000" w:rsidDel="00000000" w:rsidP="00000000" w:rsidRDefault="00000000" w:rsidRPr="00000000" w14:paraId="0000002B">
            <w:pPr>
              <w:jc w:val="center"/>
              <w:rPr>
                <w:sz w:val="16"/>
                <w:szCs w:val="16"/>
              </w:rPr>
            </w:pPr>
            <w:r w:rsidDel="00000000" w:rsidR="00000000" w:rsidRPr="00000000">
              <w:rPr>
                <w:rtl w:val="0"/>
              </w:rPr>
            </w:r>
          </w:p>
          <w:p w:rsidR="00000000" w:rsidDel="00000000" w:rsidP="00000000" w:rsidRDefault="00000000" w:rsidRPr="00000000" w14:paraId="0000002C">
            <w:pPr>
              <w:jc w:val="center"/>
              <w:rPr>
                <w:sz w:val="16"/>
                <w:szCs w:val="16"/>
              </w:rPr>
            </w:pPr>
            <w:r w:rsidDel="00000000" w:rsidR="00000000" w:rsidRPr="00000000">
              <w:rPr>
                <w:rtl w:val="0"/>
              </w:rPr>
            </w:r>
          </w:p>
          <w:p w:rsidR="00000000" w:rsidDel="00000000" w:rsidP="00000000" w:rsidRDefault="00000000" w:rsidRPr="00000000" w14:paraId="0000002D">
            <w:pPr>
              <w:jc w:val="center"/>
              <w:rPr>
                <w:sz w:val="16"/>
                <w:szCs w:val="16"/>
              </w:rPr>
            </w:pPr>
            <w:r w:rsidDel="00000000" w:rsidR="00000000" w:rsidRPr="00000000">
              <w:rPr>
                <w:rtl w:val="0"/>
              </w:rPr>
            </w:r>
          </w:p>
          <w:p w:rsidR="00000000" w:rsidDel="00000000" w:rsidP="00000000" w:rsidRDefault="00000000" w:rsidRPr="00000000" w14:paraId="0000002E">
            <w:pPr>
              <w:jc w:val="center"/>
              <w:rPr>
                <w:sz w:val="16"/>
                <w:szCs w:val="16"/>
              </w:rPr>
            </w:pPr>
            <w:r w:rsidDel="00000000" w:rsidR="00000000" w:rsidRPr="00000000">
              <w:rPr>
                <w:sz w:val="16"/>
                <w:szCs w:val="16"/>
                <w:rtl w:val="0"/>
              </w:rPr>
              <w:t xml:space="preserve">Caceroleo, escrache, pedrada hacia las entidades bancarias</w:t>
            </w:r>
          </w:p>
        </w:tc>
        <w:tc>
          <w:tcPr/>
          <w:p w:rsidR="00000000" w:rsidDel="00000000" w:rsidP="00000000" w:rsidRDefault="00000000" w:rsidRPr="00000000" w14:paraId="0000002F">
            <w:pPr>
              <w:jc w:val="center"/>
              <w:rPr>
                <w:sz w:val="16"/>
                <w:szCs w:val="16"/>
              </w:rPr>
            </w:pPr>
            <w:r w:rsidDel="00000000" w:rsidR="00000000" w:rsidRPr="00000000">
              <w:rPr>
                <w:rtl w:val="0"/>
              </w:rPr>
            </w:r>
          </w:p>
          <w:p w:rsidR="00000000" w:rsidDel="00000000" w:rsidP="00000000" w:rsidRDefault="00000000" w:rsidRPr="00000000" w14:paraId="00000030">
            <w:pPr>
              <w:jc w:val="center"/>
              <w:rPr>
                <w:sz w:val="16"/>
                <w:szCs w:val="16"/>
              </w:rPr>
            </w:pPr>
            <w:r w:rsidDel="00000000" w:rsidR="00000000" w:rsidRPr="00000000">
              <w:rPr>
                <w:rtl w:val="0"/>
              </w:rPr>
            </w:r>
          </w:p>
          <w:p w:rsidR="00000000" w:rsidDel="00000000" w:rsidP="00000000" w:rsidRDefault="00000000" w:rsidRPr="00000000" w14:paraId="00000031">
            <w:pPr>
              <w:jc w:val="center"/>
              <w:rPr>
                <w:sz w:val="16"/>
                <w:szCs w:val="16"/>
              </w:rPr>
            </w:pPr>
            <w:r w:rsidDel="00000000" w:rsidR="00000000" w:rsidRPr="00000000">
              <w:rPr>
                <w:rtl w:val="0"/>
              </w:rPr>
            </w:r>
          </w:p>
          <w:p w:rsidR="00000000" w:rsidDel="00000000" w:rsidP="00000000" w:rsidRDefault="00000000" w:rsidRPr="00000000" w14:paraId="00000032">
            <w:pPr>
              <w:jc w:val="center"/>
              <w:rPr>
                <w:sz w:val="16"/>
                <w:szCs w:val="16"/>
              </w:rPr>
            </w:pPr>
            <w:r w:rsidDel="00000000" w:rsidR="00000000" w:rsidRPr="00000000">
              <w:rPr>
                <w:rtl w:val="0"/>
              </w:rPr>
            </w:r>
          </w:p>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Económico: reclamaban la devolución completa de sus ahorros bancarias, en pesos o en dólares.</w:t>
            </w:r>
          </w:p>
        </w:tc>
        <w:tc>
          <w:tcPr/>
          <w:p w:rsidR="00000000" w:rsidDel="00000000" w:rsidP="00000000" w:rsidRDefault="00000000" w:rsidRPr="00000000" w14:paraId="00000034">
            <w:pPr>
              <w:jc w:val="center"/>
              <w:rPr>
                <w:sz w:val="16"/>
                <w:szCs w:val="16"/>
              </w:rPr>
            </w:pPr>
            <w:r w:rsidDel="00000000" w:rsidR="00000000" w:rsidRPr="00000000">
              <w:rPr>
                <w:rtl w:val="0"/>
              </w:rPr>
            </w:r>
          </w:p>
          <w:p w:rsidR="00000000" w:rsidDel="00000000" w:rsidP="00000000" w:rsidRDefault="00000000" w:rsidRPr="00000000" w14:paraId="00000035">
            <w:pPr>
              <w:jc w:val="center"/>
              <w:rPr>
                <w:sz w:val="16"/>
                <w:szCs w:val="16"/>
              </w:rPr>
            </w:pPr>
            <w:r w:rsidDel="00000000" w:rsidR="00000000" w:rsidRPr="00000000">
              <w:rPr>
                <w:rtl w:val="0"/>
              </w:rPr>
            </w:r>
          </w:p>
          <w:p w:rsidR="00000000" w:rsidDel="00000000" w:rsidP="00000000" w:rsidRDefault="00000000" w:rsidRPr="00000000" w14:paraId="00000036">
            <w:pPr>
              <w:jc w:val="center"/>
              <w:rPr>
                <w:sz w:val="16"/>
                <w:szCs w:val="16"/>
              </w:rPr>
            </w:pPr>
            <w:r w:rsidDel="00000000" w:rsidR="00000000" w:rsidRPr="00000000">
              <w:rPr>
                <w:rtl w:val="0"/>
              </w:rPr>
            </w:r>
          </w:p>
          <w:p w:rsidR="00000000" w:rsidDel="00000000" w:rsidP="00000000" w:rsidRDefault="00000000" w:rsidRPr="00000000" w14:paraId="00000037">
            <w:pPr>
              <w:jc w:val="center"/>
              <w:rPr>
                <w:sz w:val="16"/>
                <w:szCs w:val="16"/>
              </w:rPr>
            </w:pPr>
            <w:r w:rsidDel="00000000" w:rsidR="00000000" w:rsidRPr="00000000">
              <w:rPr>
                <w:rtl w:val="0"/>
              </w:rPr>
            </w:r>
          </w:p>
          <w:p w:rsidR="00000000" w:rsidDel="00000000" w:rsidP="00000000" w:rsidRDefault="00000000" w:rsidRPr="00000000" w14:paraId="00000038">
            <w:pPr>
              <w:jc w:val="center"/>
              <w:rPr>
                <w:sz w:val="16"/>
                <w:szCs w:val="16"/>
              </w:rPr>
            </w:pPr>
            <w:r w:rsidDel="00000000" w:rsidR="00000000" w:rsidRPr="00000000">
              <w:rPr>
                <w:sz w:val="16"/>
                <w:szCs w:val="16"/>
                <w:rtl w:val="0"/>
              </w:rPr>
              <w:t xml:space="preserve">Se modificó la reglamentación sobre la operatoria bancaria de los depósitos. </w:t>
            </w:r>
          </w:p>
        </w:tc>
        <w:tc>
          <w:tcPr>
            <w:gridSpan w:val="2"/>
          </w:tcPr>
          <w:p w:rsidR="00000000" w:rsidDel="00000000" w:rsidP="00000000" w:rsidRDefault="00000000" w:rsidRPr="00000000" w14:paraId="00000039">
            <w:pPr>
              <w:jc w:val="center"/>
              <w:rPr>
                <w:sz w:val="16"/>
                <w:szCs w:val="16"/>
              </w:rPr>
            </w:pPr>
            <w:r w:rsidDel="00000000" w:rsidR="00000000" w:rsidRPr="00000000">
              <w:rPr>
                <w:rtl w:val="0"/>
              </w:rPr>
            </w:r>
          </w:p>
          <w:p w:rsidR="00000000" w:rsidDel="00000000" w:rsidP="00000000" w:rsidRDefault="00000000" w:rsidRPr="00000000" w14:paraId="0000003A">
            <w:pPr>
              <w:jc w:val="center"/>
              <w:rPr>
                <w:sz w:val="16"/>
                <w:szCs w:val="16"/>
              </w:rPr>
            </w:pPr>
            <w:r w:rsidDel="00000000" w:rsidR="00000000" w:rsidRPr="00000000">
              <w:rPr>
                <w:rtl w:val="0"/>
              </w:rPr>
            </w:r>
          </w:p>
          <w:p w:rsidR="00000000" w:rsidDel="00000000" w:rsidP="00000000" w:rsidRDefault="00000000" w:rsidRPr="00000000" w14:paraId="0000003B">
            <w:pPr>
              <w:jc w:val="center"/>
              <w:rPr>
                <w:sz w:val="16"/>
                <w:szCs w:val="16"/>
              </w:rPr>
            </w:pPr>
            <w:r w:rsidDel="00000000" w:rsidR="00000000" w:rsidRPr="00000000">
              <w:rPr>
                <w:rtl w:val="0"/>
              </w:rPr>
            </w:r>
          </w:p>
          <w:p w:rsidR="00000000" w:rsidDel="00000000" w:rsidP="00000000" w:rsidRDefault="00000000" w:rsidRPr="00000000" w14:paraId="0000003C">
            <w:pPr>
              <w:jc w:val="center"/>
              <w:rPr>
                <w:sz w:val="16"/>
                <w:szCs w:val="16"/>
              </w:rPr>
            </w:pPr>
            <w:r w:rsidDel="00000000" w:rsidR="00000000" w:rsidRPr="00000000">
              <w:rPr>
                <w:sz w:val="16"/>
                <w:szCs w:val="16"/>
                <w:rtl w:val="0"/>
              </w:rPr>
              <w:t xml:space="preserve">Se instaló la idea de “confiscación” de los ahorros. También se instaló un discurso “meritocrático” y “anti-clase política”.</w:t>
            </w:r>
          </w:p>
        </w:tc>
      </w:tr>
      <w:tr>
        <w:trPr>
          <w:cantSplit w:val="0"/>
          <w:trHeight w:val="1385"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F">
            <w:pPr>
              <w:rPr/>
            </w:pPr>
            <w:r w:rsidDel="00000000" w:rsidR="00000000" w:rsidRPr="00000000">
              <w:rPr>
                <w:rtl w:val="0"/>
              </w:rPr>
              <w:t xml:space="preserve">Protesta del “campo” (2008)</w:t>
            </w:r>
          </w:p>
        </w:tc>
        <w:tc>
          <w:tcPr/>
          <w:p w:rsidR="00000000" w:rsidDel="00000000" w:rsidP="00000000" w:rsidRDefault="00000000" w:rsidRPr="00000000" w14:paraId="00000040">
            <w:pPr>
              <w:jc w:val="center"/>
              <w:rPr>
                <w:sz w:val="16"/>
                <w:szCs w:val="16"/>
              </w:rPr>
            </w:pPr>
            <w:r w:rsidDel="00000000" w:rsidR="00000000" w:rsidRPr="00000000">
              <w:rPr>
                <w:rtl w:val="0"/>
              </w:rPr>
            </w:r>
          </w:p>
          <w:p w:rsidR="00000000" w:rsidDel="00000000" w:rsidP="00000000" w:rsidRDefault="00000000" w:rsidRPr="00000000" w14:paraId="00000041">
            <w:pPr>
              <w:jc w:val="center"/>
              <w:rPr>
                <w:sz w:val="16"/>
                <w:szCs w:val="16"/>
              </w:rPr>
            </w:pPr>
            <w:r w:rsidDel="00000000" w:rsidR="00000000" w:rsidRPr="00000000">
              <w:rPr>
                <w:sz w:val="16"/>
                <w:szCs w:val="16"/>
                <w:rtl w:val="0"/>
              </w:rPr>
              <w:t xml:space="preserve">Clases medias y altas agrupados en la SRA, CRA, CONINAGRO, FAA. Constituyeron lo que se conoció como “Mesa de Enlace”.</w:t>
            </w:r>
          </w:p>
        </w:tc>
        <w:tc>
          <w:tcPr/>
          <w:p w:rsidR="00000000" w:rsidDel="00000000" w:rsidP="00000000" w:rsidRDefault="00000000" w:rsidRPr="00000000" w14:paraId="00000042">
            <w:pPr>
              <w:jc w:val="center"/>
              <w:rPr>
                <w:sz w:val="16"/>
                <w:szCs w:val="16"/>
              </w:rPr>
            </w:pPr>
            <w:r w:rsidDel="00000000" w:rsidR="00000000" w:rsidRPr="00000000">
              <w:rPr>
                <w:rtl w:val="0"/>
              </w:rPr>
            </w:r>
          </w:p>
          <w:p w:rsidR="00000000" w:rsidDel="00000000" w:rsidP="00000000" w:rsidRDefault="00000000" w:rsidRPr="00000000" w14:paraId="00000043">
            <w:pPr>
              <w:jc w:val="center"/>
              <w:rPr>
                <w:sz w:val="16"/>
                <w:szCs w:val="16"/>
              </w:rPr>
            </w:pPr>
            <w:r w:rsidDel="00000000" w:rsidR="00000000" w:rsidRPr="00000000">
              <w:rPr>
                <w:sz w:val="16"/>
                <w:szCs w:val="16"/>
                <w:rtl w:val="0"/>
              </w:rPr>
              <w:t xml:space="preserve">Cortes de rutas y piquetes. También se realizaron actos masivos en las principales ciudades del país. El conflicto duró 129 días y se registraron 378 eventos de protesta.</w:t>
            </w:r>
          </w:p>
          <w:p w:rsidR="00000000" w:rsidDel="00000000" w:rsidP="00000000" w:rsidRDefault="00000000" w:rsidRPr="00000000" w14:paraId="00000044">
            <w:pPr>
              <w:jc w:val="center"/>
              <w:rPr>
                <w:sz w:val="16"/>
                <w:szCs w:val="16"/>
              </w:rPr>
            </w:pPr>
            <w:r w:rsidDel="00000000" w:rsidR="00000000" w:rsidRPr="00000000">
              <w:rPr>
                <w:rtl w:val="0"/>
              </w:rPr>
            </w:r>
          </w:p>
          <w:p w:rsidR="00000000" w:rsidDel="00000000" w:rsidP="00000000" w:rsidRDefault="00000000" w:rsidRPr="00000000" w14:paraId="00000045">
            <w:pPr>
              <w:jc w:val="center"/>
              <w:rPr>
                <w:sz w:val="16"/>
                <w:szCs w:val="16"/>
              </w:rPr>
            </w:pPr>
            <w:r w:rsidDel="00000000" w:rsidR="00000000" w:rsidRPr="00000000">
              <w:rPr>
                <w:rtl w:val="0"/>
              </w:rPr>
            </w:r>
          </w:p>
          <w:p w:rsidR="00000000" w:rsidDel="00000000" w:rsidP="00000000" w:rsidRDefault="00000000" w:rsidRPr="00000000" w14:paraId="00000046">
            <w:pPr>
              <w:jc w:val="center"/>
              <w:rPr>
                <w:sz w:val="16"/>
                <w:szCs w:val="16"/>
              </w:rPr>
            </w:pPr>
            <w:r w:rsidDel="00000000" w:rsidR="00000000" w:rsidRPr="00000000">
              <w:rPr>
                <w:rtl w:val="0"/>
              </w:rPr>
            </w:r>
          </w:p>
          <w:p w:rsidR="00000000" w:rsidDel="00000000" w:rsidP="00000000" w:rsidRDefault="00000000" w:rsidRPr="00000000" w14:paraId="00000047">
            <w:pPr>
              <w:jc w:val="center"/>
              <w:rPr>
                <w:sz w:val="16"/>
                <w:szCs w:val="16"/>
              </w:rPr>
            </w:pPr>
            <w:r w:rsidDel="00000000" w:rsidR="00000000" w:rsidRPr="00000000">
              <w:rPr>
                <w:rtl w:val="0"/>
              </w:rPr>
            </w:r>
          </w:p>
        </w:tc>
        <w:tc>
          <w:tcPr/>
          <w:p w:rsidR="00000000" w:rsidDel="00000000" w:rsidP="00000000" w:rsidRDefault="00000000" w:rsidRPr="00000000" w14:paraId="00000048">
            <w:pPr>
              <w:jc w:val="center"/>
              <w:rPr>
                <w:sz w:val="16"/>
                <w:szCs w:val="16"/>
              </w:rPr>
            </w:pPr>
            <w:r w:rsidDel="00000000" w:rsidR="00000000" w:rsidRPr="00000000">
              <w:rPr>
                <w:sz w:val="16"/>
                <w:szCs w:val="16"/>
                <w:rtl w:val="0"/>
              </w:rPr>
              <w:t xml:space="preserve">Económico: se reclamaba la eliminación de los derechos de exportación al trigo, el maíz y la soja.</w:t>
            </w:r>
          </w:p>
        </w:tc>
        <w:tc>
          <w:tcPr/>
          <w:p w:rsidR="00000000" w:rsidDel="00000000" w:rsidP="00000000" w:rsidRDefault="00000000" w:rsidRPr="00000000" w14:paraId="00000049">
            <w:pPr>
              <w:jc w:val="center"/>
              <w:rPr>
                <w:sz w:val="16"/>
                <w:szCs w:val="16"/>
              </w:rPr>
            </w:pPr>
            <w:r w:rsidDel="00000000" w:rsidR="00000000" w:rsidRPr="00000000">
              <w:rPr>
                <w:rtl w:val="0"/>
              </w:rPr>
            </w:r>
          </w:p>
          <w:p w:rsidR="00000000" w:rsidDel="00000000" w:rsidP="00000000" w:rsidRDefault="00000000" w:rsidRPr="00000000" w14:paraId="0000004A">
            <w:pPr>
              <w:jc w:val="center"/>
              <w:rPr>
                <w:sz w:val="16"/>
                <w:szCs w:val="16"/>
              </w:rPr>
            </w:pPr>
            <w:r w:rsidDel="00000000" w:rsidR="00000000" w:rsidRPr="00000000">
              <w:rPr>
                <w:rFonts w:ascii="Garamond" w:cs="Garamond" w:eastAsia="Garamond" w:hAnsi="Garamond"/>
                <w:sz w:val="20"/>
                <w:szCs w:val="20"/>
                <w:rtl w:val="0"/>
              </w:rPr>
              <w:t xml:space="preserve">Se creó un Fondo Federal que coparticipaba para la recaudación de las retenciones a las exportaciones de soja</w:t>
            </w:r>
            <w:r w:rsidDel="00000000" w:rsidR="00000000" w:rsidRPr="00000000">
              <w:rPr>
                <w:sz w:val="12"/>
                <w:szCs w:val="12"/>
                <w:rtl w:val="0"/>
              </w:rPr>
              <w:t xml:space="preserve">. </w:t>
            </w:r>
            <w:r w:rsidDel="00000000" w:rsidR="00000000" w:rsidRPr="00000000">
              <w:rPr>
                <w:sz w:val="16"/>
                <w:szCs w:val="16"/>
                <w:rtl w:val="0"/>
              </w:rPr>
              <w:t xml:space="preserve"> </w:t>
            </w:r>
          </w:p>
        </w:tc>
        <w:tc>
          <w:tcPr>
            <w:gridSpan w:val="2"/>
          </w:tcPr>
          <w:p w:rsidR="00000000" w:rsidDel="00000000" w:rsidP="00000000" w:rsidRDefault="00000000" w:rsidRPr="00000000" w14:paraId="0000004B">
            <w:pPr>
              <w:jc w:val="center"/>
              <w:rPr>
                <w:sz w:val="16"/>
                <w:szCs w:val="16"/>
              </w:rPr>
            </w:pPr>
            <w:r w:rsidDel="00000000" w:rsidR="00000000" w:rsidRPr="00000000">
              <w:rPr>
                <w:sz w:val="16"/>
                <w:szCs w:val="16"/>
                <w:rtl w:val="0"/>
              </w:rPr>
              <w:t xml:space="preserve">Se instaló la idea de “confiscación de la renta”. También la idea de una “argentina productiva” que con su trabajo lograba solventar económicamente el país y a provincias económicamente atrasadas. Se reactivó la crítica al “populismo”.</w:t>
            </w:r>
          </w:p>
        </w:tc>
      </w:tr>
      <w:tr>
        <w:trPr>
          <w:cantSplit w:val="0"/>
          <w:trHeight w:val="256" w:hRule="atLeast"/>
          <w:tblHeader w:val="0"/>
        </w:trPr>
        <w:tc>
          <w:tcPr/>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Protestas producto de la inseguridad urbana</w:t>
            </w:r>
          </w:p>
        </w:tc>
        <w:tc>
          <w:tcPr>
            <w:vAlign w:val="center"/>
          </w:tcPr>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t xml:space="preserve">Caso “Blumberg”</w:t>
            </w:r>
          </w:p>
          <w:p w:rsidR="00000000" w:rsidDel="00000000" w:rsidP="00000000" w:rsidRDefault="00000000" w:rsidRPr="00000000" w14:paraId="00000054">
            <w:pPr>
              <w:jc w:val="center"/>
              <w:rPr/>
            </w:pPr>
            <w:r w:rsidDel="00000000" w:rsidR="00000000" w:rsidRPr="00000000">
              <w:rPr>
                <w:rtl w:val="0"/>
              </w:rPr>
              <w:t xml:space="preserve">(2004)</w:t>
            </w:r>
          </w:p>
        </w:tc>
        <w:tc>
          <w:tcPr/>
          <w:p w:rsidR="00000000" w:rsidDel="00000000" w:rsidP="00000000" w:rsidRDefault="00000000" w:rsidRPr="00000000" w14:paraId="00000055">
            <w:pPr>
              <w:jc w:val="center"/>
              <w:rPr>
                <w:sz w:val="16"/>
                <w:szCs w:val="16"/>
              </w:rPr>
            </w:pPr>
            <w:r w:rsidDel="00000000" w:rsidR="00000000" w:rsidRPr="00000000">
              <w:rPr>
                <w:rtl w:val="0"/>
              </w:rPr>
            </w:r>
          </w:p>
          <w:p w:rsidR="00000000" w:rsidDel="00000000" w:rsidP="00000000" w:rsidRDefault="00000000" w:rsidRPr="00000000" w14:paraId="00000056">
            <w:pPr>
              <w:jc w:val="center"/>
              <w:rPr>
                <w:sz w:val="16"/>
                <w:szCs w:val="16"/>
              </w:rPr>
            </w:pPr>
            <w:r w:rsidDel="00000000" w:rsidR="00000000" w:rsidRPr="00000000">
              <w:rPr>
                <w:rtl w:val="0"/>
              </w:rPr>
            </w:r>
          </w:p>
          <w:p w:rsidR="00000000" w:rsidDel="00000000" w:rsidP="00000000" w:rsidRDefault="00000000" w:rsidRPr="00000000" w14:paraId="00000057">
            <w:pPr>
              <w:jc w:val="center"/>
              <w:rPr>
                <w:sz w:val="16"/>
                <w:szCs w:val="16"/>
              </w:rPr>
            </w:pPr>
            <w:r w:rsidDel="00000000" w:rsidR="00000000" w:rsidRPr="00000000">
              <w:rPr>
                <w:rtl w:val="0"/>
              </w:rPr>
            </w:r>
          </w:p>
          <w:p w:rsidR="00000000" w:rsidDel="00000000" w:rsidP="00000000" w:rsidRDefault="00000000" w:rsidRPr="00000000" w14:paraId="00000058">
            <w:pPr>
              <w:jc w:val="center"/>
              <w:rPr>
                <w:sz w:val="16"/>
                <w:szCs w:val="16"/>
              </w:rPr>
            </w:pPr>
            <w:r w:rsidDel="00000000" w:rsidR="00000000" w:rsidRPr="00000000">
              <w:rPr>
                <w:rtl w:val="0"/>
              </w:rPr>
            </w:r>
          </w:p>
          <w:p w:rsidR="00000000" w:rsidDel="00000000" w:rsidP="00000000" w:rsidRDefault="00000000" w:rsidRPr="00000000" w14:paraId="00000059">
            <w:pPr>
              <w:jc w:val="center"/>
              <w:rPr>
                <w:sz w:val="16"/>
                <w:szCs w:val="16"/>
              </w:rPr>
            </w:pPr>
            <w:r w:rsidDel="00000000" w:rsidR="00000000" w:rsidRPr="00000000">
              <w:rPr>
                <w:rtl w:val="0"/>
              </w:rPr>
            </w:r>
          </w:p>
          <w:p w:rsidR="00000000" w:rsidDel="00000000" w:rsidP="00000000" w:rsidRDefault="00000000" w:rsidRPr="00000000" w14:paraId="0000005A">
            <w:pPr>
              <w:jc w:val="center"/>
              <w:rPr>
                <w:sz w:val="16"/>
                <w:szCs w:val="16"/>
              </w:rPr>
            </w:pPr>
            <w:r w:rsidDel="00000000" w:rsidR="00000000" w:rsidRPr="00000000">
              <w:rPr>
                <w:sz w:val="16"/>
                <w:szCs w:val="16"/>
                <w:rtl w:val="0"/>
              </w:rPr>
              <w:t xml:space="preserve">Clases medias urbanas.</w:t>
            </w:r>
          </w:p>
        </w:tc>
        <w:tc>
          <w:tcPr/>
          <w:p w:rsidR="00000000" w:rsidDel="00000000" w:rsidP="00000000" w:rsidRDefault="00000000" w:rsidRPr="00000000" w14:paraId="0000005B">
            <w:pPr>
              <w:jc w:val="center"/>
              <w:rPr>
                <w:sz w:val="16"/>
                <w:szCs w:val="16"/>
              </w:rPr>
            </w:pPr>
            <w:r w:rsidDel="00000000" w:rsidR="00000000" w:rsidRPr="00000000">
              <w:rPr>
                <w:rtl w:val="0"/>
              </w:rPr>
            </w:r>
          </w:p>
          <w:p w:rsidR="00000000" w:rsidDel="00000000" w:rsidP="00000000" w:rsidRDefault="00000000" w:rsidRPr="00000000" w14:paraId="0000005C">
            <w:pPr>
              <w:jc w:val="center"/>
              <w:rPr>
                <w:sz w:val="16"/>
                <w:szCs w:val="16"/>
              </w:rPr>
            </w:pPr>
            <w:r w:rsidDel="00000000" w:rsidR="00000000" w:rsidRPr="00000000">
              <w:rPr>
                <w:rtl w:val="0"/>
              </w:rPr>
            </w:r>
          </w:p>
          <w:p w:rsidR="00000000" w:rsidDel="00000000" w:rsidP="00000000" w:rsidRDefault="00000000" w:rsidRPr="00000000" w14:paraId="0000005D">
            <w:pPr>
              <w:jc w:val="center"/>
              <w:rPr>
                <w:sz w:val="16"/>
                <w:szCs w:val="16"/>
              </w:rPr>
            </w:pPr>
            <w:r w:rsidDel="00000000" w:rsidR="00000000" w:rsidRPr="00000000">
              <w:rPr>
                <w:rtl w:val="0"/>
              </w:rPr>
            </w:r>
          </w:p>
          <w:p w:rsidR="00000000" w:rsidDel="00000000" w:rsidP="00000000" w:rsidRDefault="00000000" w:rsidRPr="00000000" w14:paraId="0000005E">
            <w:pPr>
              <w:jc w:val="center"/>
              <w:rPr>
                <w:sz w:val="16"/>
                <w:szCs w:val="16"/>
              </w:rPr>
            </w:pPr>
            <w:r w:rsidDel="00000000" w:rsidR="00000000" w:rsidRPr="00000000">
              <w:rPr>
                <w:sz w:val="16"/>
                <w:szCs w:val="16"/>
                <w:rtl w:val="0"/>
              </w:rPr>
              <w:t xml:space="preserve">Movilización social bajo el slogan “Cruzada Axel por la vida de nuestros hijos”. La misma se llevó a cabo frente al Congreso de la Nación con una asistencia de 150.000 personas aproximadamente.</w:t>
            </w:r>
          </w:p>
          <w:p w:rsidR="00000000" w:rsidDel="00000000" w:rsidP="00000000" w:rsidRDefault="00000000" w:rsidRPr="00000000" w14:paraId="0000005F">
            <w:pPr>
              <w:jc w:val="center"/>
              <w:rPr>
                <w:sz w:val="16"/>
                <w:szCs w:val="16"/>
              </w:rPr>
            </w:pPr>
            <w:r w:rsidDel="00000000" w:rsidR="00000000" w:rsidRPr="00000000">
              <w:rPr>
                <w:rtl w:val="0"/>
              </w:rPr>
            </w:r>
          </w:p>
        </w:tc>
        <w:tc>
          <w:tcPr/>
          <w:p w:rsidR="00000000" w:rsidDel="00000000" w:rsidP="00000000" w:rsidRDefault="00000000" w:rsidRPr="00000000" w14:paraId="00000060">
            <w:pPr>
              <w:jc w:val="center"/>
              <w:rPr>
                <w:sz w:val="16"/>
                <w:szCs w:val="16"/>
              </w:rPr>
            </w:pPr>
            <w:r w:rsidDel="00000000" w:rsidR="00000000" w:rsidRPr="00000000">
              <w:rPr>
                <w:rtl w:val="0"/>
              </w:rPr>
            </w:r>
          </w:p>
          <w:p w:rsidR="00000000" w:rsidDel="00000000" w:rsidP="00000000" w:rsidRDefault="00000000" w:rsidRPr="00000000" w14:paraId="00000061">
            <w:pPr>
              <w:jc w:val="center"/>
              <w:rPr>
                <w:sz w:val="16"/>
                <w:szCs w:val="16"/>
              </w:rPr>
            </w:pPr>
            <w:r w:rsidDel="00000000" w:rsidR="00000000" w:rsidRPr="00000000">
              <w:rPr>
                <w:rtl w:val="0"/>
              </w:rPr>
            </w:r>
          </w:p>
          <w:p w:rsidR="00000000" w:rsidDel="00000000" w:rsidP="00000000" w:rsidRDefault="00000000" w:rsidRPr="00000000" w14:paraId="00000062">
            <w:pPr>
              <w:jc w:val="center"/>
              <w:rPr>
                <w:sz w:val="16"/>
                <w:szCs w:val="16"/>
              </w:rPr>
            </w:pPr>
            <w:r w:rsidDel="00000000" w:rsidR="00000000" w:rsidRPr="00000000">
              <w:rPr>
                <w:rtl w:val="0"/>
              </w:rPr>
            </w:r>
          </w:p>
          <w:p w:rsidR="00000000" w:rsidDel="00000000" w:rsidP="00000000" w:rsidRDefault="00000000" w:rsidRPr="00000000" w14:paraId="00000063">
            <w:pPr>
              <w:jc w:val="center"/>
              <w:rPr>
                <w:sz w:val="16"/>
                <w:szCs w:val="16"/>
              </w:rPr>
            </w:pPr>
            <w:r w:rsidDel="00000000" w:rsidR="00000000" w:rsidRPr="00000000">
              <w:rPr>
                <w:rtl w:val="0"/>
              </w:rPr>
            </w:r>
          </w:p>
          <w:p w:rsidR="00000000" w:rsidDel="00000000" w:rsidP="00000000" w:rsidRDefault="00000000" w:rsidRPr="00000000" w14:paraId="00000064">
            <w:pPr>
              <w:jc w:val="center"/>
              <w:rPr>
                <w:sz w:val="16"/>
                <w:szCs w:val="16"/>
              </w:rPr>
            </w:pPr>
            <w:r w:rsidDel="00000000" w:rsidR="00000000" w:rsidRPr="00000000">
              <w:rPr>
                <w:sz w:val="16"/>
                <w:szCs w:val="16"/>
                <w:rtl w:val="0"/>
              </w:rPr>
              <w:t xml:space="preserve">Reclamo securitista. Se peticionaba “mano dura” o un incremento de la misma. </w:t>
            </w:r>
          </w:p>
        </w:tc>
        <w:tc>
          <w:tcPr/>
          <w:p w:rsidR="00000000" w:rsidDel="00000000" w:rsidP="00000000" w:rsidRDefault="00000000" w:rsidRPr="00000000" w14:paraId="00000065">
            <w:pPr>
              <w:jc w:val="center"/>
              <w:rPr>
                <w:sz w:val="16"/>
                <w:szCs w:val="16"/>
              </w:rPr>
            </w:pPr>
            <w:r w:rsidDel="00000000" w:rsidR="00000000" w:rsidRPr="00000000">
              <w:rPr>
                <w:rtl w:val="0"/>
              </w:rPr>
            </w:r>
          </w:p>
          <w:p w:rsidR="00000000" w:rsidDel="00000000" w:rsidP="00000000" w:rsidRDefault="00000000" w:rsidRPr="00000000" w14:paraId="00000066">
            <w:pPr>
              <w:jc w:val="center"/>
              <w:rPr>
                <w:sz w:val="16"/>
                <w:szCs w:val="16"/>
              </w:rPr>
            </w:pPr>
            <w:r w:rsidDel="00000000" w:rsidR="00000000" w:rsidRPr="00000000">
              <w:rPr>
                <w:rtl w:val="0"/>
              </w:rPr>
            </w:r>
          </w:p>
          <w:p w:rsidR="00000000" w:rsidDel="00000000" w:rsidP="00000000" w:rsidRDefault="00000000" w:rsidRPr="00000000" w14:paraId="00000067">
            <w:pPr>
              <w:jc w:val="center"/>
              <w:rPr>
                <w:sz w:val="20"/>
                <w:szCs w:val="20"/>
              </w:rPr>
            </w:pPr>
            <w:r w:rsidDel="00000000" w:rsidR="00000000" w:rsidRPr="00000000">
              <w:rPr>
                <w:rtl w:val="0"/>
              </w:rPr>
            </w:r>
          </w:p>
          <w:p w:rsidR="00000000" w:rsidDel="00000000" w:rsidP="00000000" w:rsidRDefault="00000000" w:rsidRPr="00000000" w14:paraId="00000068">
            <w:pPr>
              <w:jc w:val="center"/>
              <w:rPr>
                <w:sz w:val="20"/>
                <w:szCs w:val="20"/>
              </w:rPr>
            </w:pPr>
            <w:r w:rsidDel="00000000" w:rsidR="00000000" w:rsidRPr="00000000">
              <w:rPr>
                <w:rtl w:val="0"/>
              </w:rPr>
            </w:r>
          </w:p>
          <w:p w:rsidR="00000000" w:rsidDel="00000000" w:rsidP="00000000" w:rsidRDefault="00000000" w:rsidRPr="00000000" w14:paraId="00000069">
            <w:pPr>
              <w:jc w:val="center"/>
              <w:rPr>
                <w:sz w:val="10"/>
                <w:szCs w:val="10"/>
              </w:rPr>
            </w:pPr>
            <w:r w:rsidDel="00000000" w:rsidR="00000000" w:rsidRPr="00000000">
              <w:rPr>
                <w:sz w:val="18"/>
                <w:szCs w:val="18"/>
                <w:rtl w:val="0"/>
              </w:rPr>
              <w:t xml:space="preserve">Se aprobaron seis leyes que tendían a endurecer las penas y el régimen de libertad condicional</w:t>
            </w:r>
            <w:r w:rsidDel="00000000" w:rsidR="00000000" w:rsidRPr="00000000">
              <w:rPr>
                <w:sz w:val="10"/>
                <w:szCs w:val="10"/>
                <w:rtl w:val="0"/>
              </w:rPr>
              <w:t xml:space="preserve">.</w:t>
            </w:r>
          </w:p>
        </w:tc>
        <w:tc>
          <w:tcPr>
            <w:gridSpan w:val="2"/>
          </w:tcPr>
          <w:p w:rsidR="00000000" w:rsidDel="00000000" w:rsidP="00000000" w:rsidRDefault="00000000" w:rsidRPr="00000000" w14:paraId="0000006A">
            <w:pPr>
              <w:jc w:val="center"/>
              <w:rPr>
                <w:sz w:val="16"/>
                <w:szCs w:val="16"/>
              </w:rPr>
            </w:pPr>
            <w:r w:rsidDel="00000000" w:rsidR="00000000" w:rsidRPr="00000000">
              <w:rPr>
                <w:rtl w:val="0"/>
              </w:rPr>
            </w:r>
          </w:p>
          <w:p w:rsidR="00000000" w:rsidDel="00000000" w:rsidP="00000000" w:rsidRDefault="00000000" w:rsidRPr="00000000" w14:paraId="0000006B">
            <w:pPr>
              <w:jc w:val="center"/>
              <w:rPr>
                <w:sz w:val="16"/>
                <w:szCs w:val="16"/>
              </w:rPr>
            </w:pPr>
            <w:r w:rsidDel="00000000" w:rsidR="00000000" w:rsidRPr="00000000">
              <w:rPr>
                <w:rtl w:val="0"/>
              </w:rPr>
            </w:r>
          </w:p>
          <w:p w:rsidR="00000000" w:rsidDel="00000000" w:rsidP="00000000" w:rsidRDefault="00000000" w:rsidRPr="00000000" w14:paraId="0000006C">
            <w:pPr>
              <w:jc w:val="center"/>
              <w:rPr>
                <w:sz w:val="16"/>
                <w:szCs w:val="16"/>
              </w:rPr>
            </w:pPr>
            <w:r w:rsidDel="00000000" w:rsidR="00000000" w:rsidRPr="00000000">
              <w:rPr>
                <w:rtl w:val="0"/>
              </w:rPr>
            </w:r>
          </w:p>
          <w:p w:rsidR="00000000" w:rsidDel="00000000" w:rsidP="00000000" w:rsidRDefault="00000000" w:rsidRPr="00000000" w14:paraId="0000006D">
            <w:pPr>
              <w:jc w:val="center"/>
              <w:rPr>
                <w:sz w:val="16"/>
                <w:szCs w:val="16"/>
              </w:rPr>
            </w:pPr>
            <w:r w:rsidDel="00000000" w:rsidR="00000000" w:rsidRPr="00000000">
              <w:rPr>
                <w:rtl w:val="0"/>
              </w:rPr>
            </w:r>
          </w:p>
          <w:p w:rsidR="00000000" w:rsidDel="00000000" w:rsidP="00000000" w:rsidRDefault="00000000" w:rsidRPr="00000000" w14:paraId="0000006E">
            <w:pPr>
              <w:jc w:val="center"/>
              <w:rPr>
                <w:sz w:val="16"/>
                <w:szCs w:val="16"/>
              </w:rPr>
            </w:pPr>
            <w:r w:rsidDel="00000000" w:rsidR="00000000" w:rsidRPr="00000000">
              <w:rPr>
                <w:rtl w:val="0"/>
              </w:rPr>
            </w:r>
          </w:p>
          <w:p w:rsidR="00000000" w:rsidDel="00000000" w:rsidP="00000000" w:rsidRDefault="00000000" w:rsidRPr="00000000" w14:paraId="0000006F">
            <w:pPr>
              <w:jc w:val="center"/>
              <w:rPr>
                <w:sz w:val="16"/>
                <w:szCs w:val="16"/>
              </w:rPr>
            </w:pPr>
            <w:r w:rsidDel="00000000" w:rsidR="00000000" w:rsidRPr="00000000">
              <w:rPr>
                <w:sz w:val="16"/>
                <w:szCs w:val="16"/>
                <w:rtl w:val="0"/>
              </w:rPr>
              <w:t xml:space="preserve">La problemática de la (in)seguridad urbana quedó fuertemente instalada en la sociedad argentina.</w:t>
            </w:r>
          </w:p>
        </w:tc>
      </w:tr>
      <w:tr>
        <w:trPr>
          <w:cantSplit w:val="0"/>
          <w:trHeight w:val="2812" w:hRule="atLeast"/>
          <w:tblHeader w:val="0"/>
        </w:trPr>
        <w:tc>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Protestas en resguardo de la familia</w:t>
            </w:r>
          </w:p>
          <w:p w:rsidR="00000000" w:rsidDel="00000000" w:rsidP="00000000" w:rsidRDefault="00000000" w:rsidRPr="00000000" w14:paraId="00000075">
            <w:pPr>
              <w:jc w:val="center"/>
              <w:rPr/>
            </w:pPr>
            <w:r w:rsidDel="00000000" w:rsidR="00000000" w:rsidRPr="00000000">
              <w:rPr>
                <w:rtl w:val="0"/>
              </w:rPr>
            </w:r>
          </w:p>
        </w:tc>
        <w:tc>
          <w:tcPr/>
          <w:p w:rsidR="00000000" w:rsidDel="00000000" w:rsidP="00000000" w:rsidRDefault="00000000" w:rsidRPr="00000000" w14:paraId="00000076">
            <w:pPr>
              <w:tabs>
                <w:tab w:val="center" w:leader="none" w:pos="699"/>
              </w:tabs>
              <w:jc w:val="center"/>
              <w:rPr/>
            </w:pPr>
            <w:r w:rsidDel="00000000" w:rsidR="00000000" w:rsidRPr="00000000">
              <w:rPr>
                <w:rtl w:val="0"/>
              </w:rPr>
            </w:r>
          </w:p>
          <w:p w:rsidR="00000000" w:rsidDel="00000000" w:rsidP="00000000" w:rsidRDefault="00000000" w:rsidRPr="00000000" w14:paraId="00000077">
            <w:pPr>
              <w:tabs>
                <w:tab w:val="center" w:leader="none" w:pos="699"/>
              </w:tabs>
              <w:jc w:val="center"/>
              <w:rPr/>
            </w:pPr>
            <w:r w:rsidDel="00000000" w:rsidR="00000000" w:rsidRPr="00000000">
              <w:rPr>
                <w:rtl w:val="0"/>
              </w:rPr>
            </w:r>
          </w:p>
          <w:p w:rsidR="00000000" w:rsidDel="00000000" w:rsidP="00000000" w:rsidRDefault="00000000" w:rsidRPr="00000000" w14:paraId="00000078">
            <w:pPr>
              <w:tabs>
                <w:tab w:val="center" w:leader="none" w:pos="699"/>
              </w:tabs>
              <w:jc w:val="center"/>
              <w:rPr/>
            </w:pPr>
            <w:r w:rsidDel="00000000" w:rsidR="00000000" w:rsidRPr="00000000">
              <w:rPr>
                <w:rtl w:val="0"/>
              </w:rPr>
            </w:r>
          </w:p>
          <w:p w:rsidR="00000000" w:rsidDel="00000000" w:rsidP="00000000" w:rsidRDefault="00000000" w:rsidRPr="00000000" w14:paraId="00000079">
            <w:pPr>
              <w:tabs>
                <w:tab w:val="center" w:leader="none" w:pos="699"/>
              </w:tabs>
              <w:jc w:val="center"/>
              <w:rPr/>
            </w:pPr>
            <w:r w:rsidDel="00000000" w:rsidR="00000000" w:rsidRPr="00000000">
              <w:rPr>
                <w:rtl w:val="0"/>
              </w:rPr>
            </w:r>
          </w:p>
          <w:p w:rsidR="00000000" w:rsidDel="00000000" w:rsidP="00000000" w:rsidRDefault="00000000" w:rsidRPr="00000000" w14:paraId="0000007A">
            <w:pPr>
              <w:tabs>
                <w:tab w:val="center" w:leader="none" w:pos="699"/>
              </w:tabs>
              <w:jc w:val="center"/>
              <w:rPr/>
            </w:pPr>
            <w:r w:rsidDel="00000000" w:rsidR="00000000" w:rsidRPr="00000000">
              <w:rPr>
                <w:rtl w:val="0"/>
              </w:rPr>
              <w:t xml:space="preserve">El caso de la IVE en 2018</w:t>
            </w:r>
          </w:p>
        </w:tc>
        <w:tc>
          <w:tcPr/>
          <w:p w:rsidR="00000000" w:rsidDel="00000000" w:rsidP="00000000" w:rsidRDefault="00000000" w:rsidRPr="00000000" w14:paraId="0000007B">
            <w:pPr>
              <w:jc w:val="center"/>
              <w:rPr>
                <w:sz w:val="16"/>
                <w:szCs w:val="16"/>
              </w:rPr>
            </w:pPr>
            <w:r w:rsidDel="00000000" w:rsidR="00000000" w:rsidRPr="00000000">
              <w:rPr>
                <w:rtl w:val="0"/>
              </w:rPr>
            </w:r>
          </w:p>
          <w:p w:rsidR="00000000" w:rsidDel="00000000" w:rsidP="00000000" w:rsidRDefault="00000000" w:rsidRPr="00000000" w14:paraId="0000007C">
            <w:pPr>
              <w:jc w:val="center"/>
              <w:rPr>
                <w:sz w:val="16"/>
                <w:szCs w:val="16"/>
              </w:rPr>
            </w:pPr>
            <w:r w:rsidDel="00000000" w:rsidR="00000000" w:rsidRPr="00000000">
              <w:rPr>
                <w:rtl w:val="0"/>
              </w:rPr>
            </w:r>
          </w:p>
          <w:p w:rsidR="00000000" w:rsidDel="00000000" w:rsidP="00000000" w:rsidRDefault="00000000" w:rsidRPr="00000000" w14:paraId="0000007D">
            <w:pPr>
              <w:jc w:val="center"/>
              <w:rPr>
                <w:sz w:val="16"/>
                <w:szCs w:val="16"/>
              </w:rPr>
            </w:pPr>
            <w:r w:rsidDel="00000000" w:rsidR="00000000" w:rsidRPr="00000000">
              <w:rPr>
                <w:rtl w:val="0"/>
              </w:rPr>
            </w:r>
          </w:p>
          <w:p w:rsidR="00000000" w:rsidDel="00000000" w:rsidP="00000000" w:rsidRDefault="00000000" w:rsidRPr="00000000" w14:paraId="0000007E">
            <w:pPr>
              <w:jc w:val="center"/>
              <w:rPr>
                <w:sz w:val="16"/>
                <w:szCs w:val="16"/>
              </w:rPr>
            </w:pPr>
            <w:r w:rsidDel="00000000" w:rsidR="00000000" w:rsidRPr="00000000">
              <w:rPr>
                <w:sz w:val="16"/>
                <w:szCs w:val="16"/>
                <w:rtl w:val="0"/>
              </w:rPr>
              <w:t xml:space="preserve">Clases medias urbanas.</w:t>
            </w:r>
          </w:p>
        </w:tc>
        <w:tc>
          <w:tcPr/>
          <w:p w:rsidR="00000000" w:rsidDel="00000000" w:rsidP="00000000" w:rsidRDefault="00000000" w:rsidRPr="00000000" w14:paraId="0000007F">
            <w:pPr>
              <w:jc w:val="center"/>
              <w:rPr>
                <w:sz w:val="16"/>
                <w:szCs w:val="16"/>
              </w:rPr>
            </w:pPr>
            <w:r w:rsidDel="00000000" w:rsidR="00000000" w:rsidRPr="00000000">
              <w:rPr>
                <w:rtl w:val="0"/>
              </w:rPr>
            </w:r>
          </w:p>
          <w:p w:rsidR="00000000" w:rsidDel="00000000" w:rsidP="00000000" w:rsidRDefault="00000000" w:rsidRPr="00000000" w14:paraId="00000080">
            <w:pPr>
              <w:jc w:val="center"/>
              <w:rPr>
                <w:sz w:val="16"/>
                <w:szCs w:val="16"/>
              </w:rPr>
            </w:pPr>
            <w:r w:rsidDel="00000000" w:rsidR="00000000" w:rsidRPr="00000000">
              <w:rPr>
                <w:sz w:val="16"/>
                <w:szCs w:val="16"/>
                <w:rtl w:val="0"/>
              </w:rPr>
              <w:t xml:space="preserve">Movilizaciones en contra del proyecto de ley de IVE. Se autodenominaron “marcha por la vida”, “campaña en favor de la vida” o “marcha por las dos vidas”, en alusión a la vida de la madre y el hijo por nacer.</w:t>
            </w:r>
          </w:p>
        </w:tc>
        <w:tc>
          <w:tcPr/>
          <w:p w:rsidR="00000000" w:rsidDel="00000000" w:rsidP="00000000" w:rsidRDefault="00000000" w:rsidRPr="00000000" w14:paraId="00000081">
            <w:pPr>
              <w:jc w:val="center"/>
              <w:rPr>
                <w:sz w:val="16"/>
                <w:szCs w:val="16"/>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sz w:val="16"/>
                <w:szCs w:val="16"/>
                <w:rtl w:val="0"/>
              </w:rPr>
              <w:t xml:space="preserve">Resguardo de la familia tradicional. El principal símbolo utilizado fue el “pañuelo celeste”, el que fue presentado el 15 de mayo de 2018 por la Organización No Gubernamental “Más vida”, que, de acuerdo con sus representantes, el color hace alusión a los colores “patrios” y a la “identidad” de la Argentina.</w:t>
            </w:r>
            <w:r w:rsidDel="00000000" w:rsidR="00000000" w:rsidRPr="00000000">
              <w:rPr>
                <w:rtl w:val="0"/>
              </w:rPr>
            </w:r>
          </w:p>
        </w:tc>
        <w:tc>
          <w:tcPr/>
          <w:p w:rsidR="00000000" w:rsidDel="00000000" w:rsidP="00000000" w:rsidRDefault="00000000" w:rsidRPr="00000000" w14:paraId="00000083">
            <w:pPr>
              <w:jc w:val="center"/>
              <w:rPr>
                <w:sz w:val="18"/>
                <w:szCs w:val="18"/>
              </w:rPr>
            </w:pPr>
            <w:r w:rsidDel="00000000" w:rsidR="00000000" w:rsidRPr="00000000">
              <w:rPr>
                <w:rtl w:val="0"/>
              </w:rPr>
            </w:r>
          </w:p>
          <w:p w:rsidR="00000000" w:rsidDel="00000000" w:rsidP="00000000" w:rsidRDefault="00000000" w:rsidRPr="00000000" w14:paraId="00000084">
            <w:pPr>
              <w:jc w:val="center"/>
              <w:rPr>
                <w:sz w:val="18"/>
                <w:szCs w:val="18"/>
              </w:rPr>
            </w:pPr>
            <w:r w:rsidDel="00000000" w:rsidR="00000000" w:rsidRPr="00000000">
              <w:rPr>
                <w:rtl w:val="0"/>
              </w:rPr>
            </w:r>
          </w:p>
          <w:p w:rsidR="00000000" w:rsidDel="00000000" w:rsidP="00000000" w:rsidRDefault="00000000" w:rsidRPr="00000000" w14:paraId="00000085">
            <w:pPr>
              <w:jc w:val="center"/>
              <w:rPr>
                <w:sz w:val="18"/>
                <w:szCs w:val="18"/>
                <w:vertAlign w:val="subscript"/>
              </w:rPr>
            </w:pPr>
            <w:r w:rsidDel="00000000" w:rsidR="00000000" w:rsidRPr="00000000">
              <w:rPr>
                <w:sz w:val="18"/>
                <w:szCs w:val="18"/>
                <w:rtl w:val="0"/>
              </w:rPr>
              <w:t xml:space="preserve">Los candidatos presidenciales para la campaña de 2019 se vieron obligados a pronunciarse a favor o en contra de la IVE. </w:t>
            </w:r>
            <w:r w:rsidDel="00000000" w:rsidR="00000000" w:rsidRPr="00000000">
              <w:rPr>
                <w:rtl w:val="0"/>
              </w:rPr>
            </w:r>
          </w:p>
        </w:tc>
        <w:tc>
          <w:tcPr>
            <w:gridSpan w:val="2"/>
          </w:tcPr>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sz w:val="18"/>
                <w:szCs w:val="18"/>
                <w:rtl w:val="0"/>
              </w:rPr>
              <w:t xml:space="preserve">El discurso del feminismo coexistió con el discurso que hacía eje en la “protección ” de las “dos vidas</w:t>
            </w: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9349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zwHd02JNIFZv5jp7HIcEWgeUw==">CgMxLjA4AHIhMWdFRzlnWTVnZlhJandqTTNSUHlYMU5jTG1ac0tUTXU4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2023-07-25T13:46:00Z</dcterms:created>
  <dc:creator>Seba</dc:creator>
</cp:coreProperties>
</file>