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95" w:rsidRPr="00624995" w:rsidRDefault="00624995" w:rsidP="00624995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2499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Supplementary Information</w:t>
      </w:r>
    </w:p>
    <w:p w:rsidR="00624995" w:rsidRDefault="00624995" w:rsidP="00624995">
      <w:pPr>
        <w:spacing w:before="300" w:after="300" w:line="480" w:lineRule="auto"/>
        <w:rPr>
          <w:rFonts w:ascii="Arial" w:hAnsi="Arial" w:cs="Arial"/>
          <w:b/>
          <w:bCs/>
          <w:color w:val="000000"/>
          <w:lang w:val="en-US"/>
        </w:rPr>
      </w:pPr>
      <w:r w:rsidRPr="00624995">
        <w:rPr>
          <w:rFonts w:ascii="Arial" w:hAnsi="Arial" w:cs="Arial"/>
          <w:b/>
          <w:bCs/>
          <w:color w:val="000000"/>
          <w:lang w:val="en-US"/>
        </w:rPr>
        <w:t>Fire effects on pollination and plant reproduction: a systematic quantitative review</w:t>
      </w:r>
    </w:p>
    <w:p w:rsidR="00624995" w:rsidRPr="00624995" w:rsidRDefault="00624995" w:rsidP="00624995">
      <w:pPr>
        <w:spacing w:before="300" w:after="300" w:line="48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2499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Lucas M. Carbone</w:t>
      </w:r>
      <w:r w:rsidRPr="00624995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es-AR"/>
        </w:rPr>
        <w:t>1,2</w:t>
      </w:r>
      <w:r w:rsidRPr="0062499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*, Jul</w:t>
      </w:r>
      <w:bookmarkStart w:id="0" w:name="_GoBack"/>
      <w:bookmarkEnd w:id="0"/>
      <w:r w:rsidRPr="0062499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ia Tavella</w:t>
      </w:r>
      <w:r w:rsidRPr="00624995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es-AR"/>
        </w:rPr>
        <w:t>1</w:t>
      </w:r>
      <w:r w:rsidRPr="0062499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Victoria Marquez</w:t>
      </w:r>
      <w:r w:rsidRPr="00624995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es-AR"/>
        </w:rPr>
        <w:t>1</w:t>
      </w:r>
      <w:r w:rsidRPr="0062499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Lorena Ashworth</w:t>
      </w:r>
      <w:r w:rsidRPr="00624995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es-AR"/>
        </w:rPr>
        <w:t>1,3</w:t>
      </w:r>
      <w:r w:rsidRPr="0062499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Juli G. Pausas</w:t>
      </w:r>
      <w:r w:rsidRPr="00624995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es-AR"/>
        </w:rPr>
        <w:t>4</w:t>
      </w:r>
      <w:r w:rsidRPr="0062499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and Ramiro Aguilar</w:t>
      </w:r>
      <w:r w:rsidRPr="00624995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es-AR"/>
        </w:rPr>
        <w:t>1,3,5 </w:t>
      </w:r>
    </w:p>
    <w:p w:rsidR="00624995" w:rsidRPr="00624995" w:rsidRDefault="00624995" w:rsidP="0062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24995">
        <w:rPr>
          <w:rFonts w:ascii="Arial" w:eastAsia="Times New Roman" w:hAnsi="Arial" w:cs="Arial"/>
          <w:color w:val="000000"/>
          <w:sz w:val="12"/>
          <w:szCs w:val="12"/>
          <w:vertAlign w:val="superscript"/>
          <w:lang w:eastAsia="es-AR"/>
        </w:rPr>
        <w:t xml:space="preserve">1 </w:t>
      </w:r>
      <w:proofErr w:type="gramStart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Instituto</w:t>
      </w:r>
      <w:proofErr w:type="gramEnd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Multidisciplinario de Biología Vegetal, Universidad Nacional de Córdoba, CONICET. Av. Vélez Sarsfield 299. CC 495, CP 5000. Córdoba, Argentina.</w:t>
      </w:r>
    </w:p>
    <w:p w:rsidR="00624995" w:rsidRPr="00624995" w:rsidRDefault="00624995" w:rsidP="0062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24995">
        <w:rPr>
          <w:rFonts w:ascii="Arial" w:eastAsia="Times New Roman" w:hAnsi="Arial" w:cs="Arial"/>
          <w:color w:val="000000"/>
          <w:sz w:val="12"/>
          <w:szCs w:val="12"/>
          <w:vertAlign w:val="superscript"/>
          <w:lang w:eastAsia="es-AR"/>
        </w:rPr>
        <w:t>2</w:t>
      </w:r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</w:t>
      </w:r>
      <w:proofErr w:type="gramStart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Facultad</w:t>
      </w:r>
      <w:proofErr w:type="gramEnd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de Ciencias Agropecuarias, Universidad Nacional de Córdoba. Ing. Agr. </w:t>
      </w:r>
      <w:proofErr w:type="spellStart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Felix</w:t>
      </w:r>
      <w:proofErr w:type="spellEnd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Aldo Marrone 746. Ciudad Universitaria. CC 509. CP 5000. Córdoba, Argentina.</w:t>
      </w:r>
    </w:p>
    <w:p w:rsidR="00624995" w:rsidRPr="00624995" w:rsidRDefault="00624995" w:rsidP="0062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24995">
        <w:rPr>
          <w:rFonts w:ascii="Arial" w:eastAsia="Times New Roman" w:hAnsi="Arial" w:cs="Arial"/>
          <w:color w:val="000000"/>
          <w:sz w:val="12"/>
          <w:szCs w:val="12"/>
          <w:vertAlign w:val="superscript"/>
          <w:lang w:eastAsia="es-AR"/>
        </w:rPr>
        <w:t xml:space="preserve">3 </w:t>
      </w:r>
      <w:proofErr w:type="gramStart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Laboratorio</w:t>
      </w:r>
      <w:proofErr w:type="gramEnd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Nacional de Análisis y Síntesis Ecológica para la Conservación de los Recursos Genéticos, Escuela Nacional de Estudios Superiores Unidad Morelia, Universidad Nacional Autónoma de México, Morelia Michoacán 58190, México.</w:t>
      </w:r>
    </w:p>
    <w:p w:rsidR="00624995" w:rsidRPr="00624995" w:rsidRDefault="00624995" w:rsidP="0062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24995">
        <w:rPr>
          <w:rFonts w:ascii="Arial" w:eastAsia="Times New Roman" w:hAnsi="Arial" w:cs="Arial"/>
          <w:color w:val="000000"/>
          <w:sz w:val="12"/>
          <w:szCs w:val="12"/>
          <w:vertAlign w:val="superscript"/>
          <w:lang w:eastAsia="es-AR"/>
        </w:rPr>
        <w:t xml:space="preserve">4 </w:t>
      </w:r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Centro de Investigaciones sobre Desertificación (CIDE-CSIC), Ctra. CV-315, Km 10.7, 46113 Moncada, Valencia, </w:t>
      </w:r>
      <w:proofErr w:type="spellStart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Spain</w:t>
      </w:r>
      <w:proofErr w:type="spellEnd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.</w:t>
      </w:r>
    </w:p>
    <w:p w:rsidR="00624995" w:rsidRPr="00624995" w:rsidRDefault="00624995" w:rsidP="0062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24995">
        <w:rPr>
          <w:rFonts w:ascii="Arial" w:eastAsia="Times New Roman" w:hAnsi="Arial" w:cs="Arial"/>
          <w:color w:val="000000"/>
          <w:sz w:val="12"/>
          <w:szCs w:val="12"/>
          <w:vertAlign w:val="superscript"/>
          <w:lang w:eastAsia="es-AR"/>
        </w:rPr>
        <w:t xml:space="preserve">5 </w:t>
      </w:r>
      <w:proofErr w:type="gramStart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Departamento</w:t>
      </w:r>
      <w:proofErr w:type="gramEnd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de Genética, </w:t>
      </w:r>
      <w:proofErr w:type="spellStart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Ecologia</w:t>
      </w:r>
      <w:proofErr w:type="spellEnd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e </w:t>
      </w:r>
      <w:proofErr w:type="spellStart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Evolução</w:t>
      </w:r>
      <w:proofErr w:type="spellEnd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, Instituto de </w:t>
      </w:r>
      <w:proofErr w:type="spellStart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Ciências</w:t>
      </w:r>
      <w:proofErr w:type="spellEnd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Biológicas, </w:t>
      </w:r>
      <w:proofErr w:type="spellStart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Universidade</w:t>
      </w:r>
      <w:proofErr w:type="spellEnd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Federal de Minas Gerais, Belo Horizonte, Minas Gerais, </w:t>
      </w:r>
      <w:proofErr w:type="spellStart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Brazil</w:t>
      </w:r>
      <w:proofErr w:type="spellEnd"/>
      <w:r w:rsidRPr="006249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.</w:t>
      </w:r>
    </w:p>
    <w:p w:rsidR="00624995" w:rsidRDefault="00624995" w:rsidP="00673A85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</w:p>
    <w:p w:rsidR="00624995" w:rsidRPr="00624995" w:rsidRDefault="00624995" w:rsidP="00673A85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b/>
          <w:bCs/>
          <w:color w:val="000000"/>
          <w:lang w:val="en-US"/>
        </w:rPr>
        <w:t>List of studies included in the meta-analysis on fire effects on pollination</w:t>
      </w:r>
    </w:p>
    <w:p w:rsidR="00673A85" w:rsidRDefault="00673A85" w:rsidP="00673A85">
      <w:pPr>
        <w:pStyle w:val="NormalWeb"/>
        <w:spacing w:before="0" w:beforeAutospacing="0" w:after="200" w:afterAutospacing="0"/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Adedoja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O. A., Crandall, R. M.,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Mallinger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R. E. 2022. Season of prescribed burns and management of an early successional species affect flower density and pollinator activity in a pine savanna ecosystem.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PeerJ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10, e14377.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Arneson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L. C.,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Tepedino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V. J., Smith, S. L. 2004.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Reproductive success of a rare fire-follower (Iliamna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bakeri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Malvaceae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), and its association with a native specialist bee (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Diadasia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nitidifrons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: Apidae), in northeastern California. Northwest Science 78(2), 141-149.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Banza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P., Evans, D. M., Medeiros, R., Macgregor, C. J., Belo, A. D. 2021. Short</w:t>
      </w:r>
      <w:r w:rsidRPr="00673A85">
        <w:rPr>
          <w:rFonts w:ascii="Cambria Math" w:hAnsi="Cambria Math" w:cs="Cambria Math"/>
          <w:color w:val="000000"/>
          <w:sz w:val="20"/>
          <w:szCs w:val="20"/>
          <w:lang w:val="en-US"/>
        </w:rPr>
        <w:t>‐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>term positive effects of wildfire on diurnal insects and pollen transport in a Mediterranean ecosystem. Ecological Entomology, 46(6), 1353-1363.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4. Barton, L. K., Menges, E. S. 2018. Effects of fire and pollinator visitation on the reproductive success of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Asimina reticulata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Annonaceae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), the netted pawpaw.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Castanea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83(2), 323-333.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5. Bell, S. A., Hunter, N., Steed, A. 2022. Lack of fire rather than pollinator absence may drive population decline in the critically endangered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Banksia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conferta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Proteaceae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). Australian Journal of Botany 70(5), 372-383.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6. Brown, J., York, A., Christie, F. 2016. Fire effects on pollination in a sexually deceptive orchid. International Journal of Wildland Fire 25(8), 888-895.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7.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Burkle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L. A., Belote, R. T., Myers, J. A. 2022. Wildfire severity alters drivers of interaction beta</w:t>
      </w:r>
      <w:r w:rsidRPr="00673A85">
        <w:rPr>
          <w:rFonts w:ascii="Cambria Math" w:hAnsi="Cambria Math" w:cs="Cambria Math"/>
          <w:color w:val="000000"/>
          <w:sz w:val="20"/>
          <w:szCs w:val="20"/>
          <w:lang w:val="en-US"/>
        </w:rPr>
        <w:t>‐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diversity in plant–bee networks.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Ecography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3, e05986.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24995">
        <w:rPr>
          <w:rFonts w:ascii="Arial" w:hAnsi="Arial" w:cs="Arial"/>
          <w:color w:val="000000"/>
          <w:sz w:val="20"/>
          <w:szCs w:val="20"/>
        </w:rPr>
        <w:t xml:space="preserve">8. Carbone, L. M., Aguilar, R. 2017.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Fire frequency effects on soil and pollinators: what shapes sexual plant </w:t>
      </w:r>
      <w:proofErr w:type="gram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reproduction?.</w:t>
      </w:r>
      <w:proofErr w:type="gram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Plant Ecology 218 (11-12), 1283-1297.</w:t>
      </w:r>
    </w:p>
    <w:p w:rsidR="00673A85" w:rsidRDefault="00673A85" w:rsidP="00673A85">
      <w:pPr>
        <w:pStyle w:val="NormalWeb"/>
        <w:spacing w:before="0" w:beforeAutospacing="0" w:after="200" w:afterAutospacing="0"/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 xml:space="preserve">9. Coates, F., Duncan, M. 2009. Demographic variation between populations of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Caladenia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orientalis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–a fire-managed threatened orchid.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Australian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Journal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Botany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57(4), 326-339.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da Silva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Goldas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C.,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Podgaiski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L. R.,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Veronese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Corrêa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Silva, C., Abreu Ferreira, P. M.,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Vizentin-Bugoni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J., de Souza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Mendonça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M. 2022.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Structural resilience and high interaction dissimilarity of plant–pollinator interaction networks in fire-prone grasslands.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Oecologia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198, 179-192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11. Decker, B. L., Harmon-Threatt, A. N. 2019. Growing or dormant season burns: the effects of burn season on bee and plant communities. Biodiversity and Conservation 28, 3621-3631.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12. García, Y., Clara Castellanos, M.,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Pausas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J. G. 2018. Differential pollinator response underlies plant reproductive resilience after fires. Annals of Botany 122(6), 961-971.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13.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Goldas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C. D. S.,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Podgaiski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L. R., da Silva, C. V. C., Mendonca Jr, M. D. S. 2022. Burning for grassland pollination: recently burned patches promote plant flowering and insect pollinators. Austral Ecology 47(3), 491-506.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14.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Huntzinger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M. 2003. Effects of fire management practices on butterfly diversity in the forested western United States. Biological Conservation 113(1), 1-12.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15.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Jürgens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A., Bosch, S. R., Webber, A. C., Witt, T., Frame, D.,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Gottsberger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G. 2009. Pollination biology of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Eulophia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alta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Orchidaceae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 in Amazonia: effects of pollinator composition on reproductive success in different populations. Annals of Botany 104(5), 897-912.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16.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LaManna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J. 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Burkle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L. A., Belote, R. T., Myers, J. A. 2021. Biotic and abiotic drivers of plant–pollinator community assembly across wildfire gradients. Journal of Ecology 109(2), 1000-1013.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17. Leone, J. B., Larson, D. L., Larson, J. L.,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Pennarola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N.,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Oberhauser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K. 2019. Adult monarch (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Danaus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plexippus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 abundance is higher in burned sites than in grazed sites. Frontiers in Ecology and Evolution 7, 435.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18. Lomond, D., Larson, D. J. 1983. Honey bees,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Apis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mellifera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(Hymenoptera: Apidae), as pollinators of lowbush blueberry,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Vaccinium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angustifolium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on Newfoundland coastal barrens. The Canadian Entomologist 115(12), 1647-1651.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19.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LoPresti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E. F., Van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Wyk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J. I.,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Mola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J. M., Toll, K., Miller, T. J., Williams, N. M. 2018. Effects of wildfire on floral display size and pollinator community reduce outcrossing rate in a plant with a mixed mating system. American Journal of Botany 105(7), 1154-1164.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20. Love, B. G., Cane, J. H. 2016. Limited direct effects of a massive wildfire on its sagebrush steppe bee community. Ecological Entomology 41(3), 317-326.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21. Marquez, V., Carbone, L. M., Aguilar, R., Ashworth, L. 2019. Frequent fires do not affect sexual expression and reproduction in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Vachellia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caven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. Austral Ecology 44(4), 725-733.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22. McCullough, K., Albanese, G.,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Haukos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D. A., Ricketts, A. M., Stratton, S. 2019. Management regime and habitat response influence abundance of regal fritillary (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Speyeria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idalia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 in tallgrass prairie. Ecosphere 10(8), e02845.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23. McIver, J., Macke, E. 2014. Short-term butterfly response to sagebrush steppe restoration treatments. Rangeland Ecology Management 67(5), 539-552.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24.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Mola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J. M., Williams, N. M. 2018. Fire</w:t>
      </w:r>
      <w:r w:rsidRPr="00673A85">
        <w:rPr>
          <w:rFonts w:ascii="Cambria Math" w:hAnsi="Cambria Math" w:cs="Cambria Math"/>
          <w:color w:val="000000"/>
          <w:sz w:val="20"/>
          <w:szCs w:val="20"/>
          <w:lang w:val="en-US"/>
        </w:rPr>
        <w:t>‐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>induced change in floral abundance, density, and phenology benefits bumble bee foragers. Ecosphere 9(1), e02056.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25. Moretti, M., De Bello, F., Roberts, S. P., Potts, S. G. 2009. Taxonomical vs. functional responses of bee communities to fire in two contrasting climatic regions. Journal of Animal Ecology 98-108.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 xml:space="preserve">26.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Nakas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K.,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Kantsa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Vujić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Mescher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M. C., De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Moraes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C. </w:t>
      </w:r>
      <w:r>
        <w:rPr>
          <w:rFonts w:ascii="Arial" w:hAnsi="Arial" w:cs="Arial"/>
          <w:color w:val="000000"/>
          <w:sz w:val="20"/>
          <w:szCs w:val="20"/>
        </w:rPr>
        <w:t>Μ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Petanidou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T. 2023. Recent fire in a Mediterranean ecosystem strengthens hoverfly populations and their interaction networks with plants. Ecology Evolution 13(2), 758-767.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27.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Ne'eman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G., Dafni, A. 1999. Fire, bees, and seed production in a Mediterranean key species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Salvia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fruticosa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Miller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Lamiaceae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). Israel Journal of Plant Sciences 47(2), 109-116.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28.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Ne'eman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G., Dafni, A., Potts, S. G. 2000. The effect of fire on flower visitation rate and fruit set in four core-species in east Mediterranean scrubland. Plant Ecology 146(1), 19-28.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29.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Ohwaki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A. 2019. Entire-area spring burning versus abandonment in grasslands: butterfly responses associated with hibernating traits. Journal of Insect Conservation 23(5–6), 857–871.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30. Peralta, G.,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Stevani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E. L.,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Chacoff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N. P., Dorado, J., Vázquez, D. P. 2017. Fire influences the structure of plant–bee networks. Journal of Animal Ecology 86(3), 579-589.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31. Potts, S. G., Dafni, 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Ne'eman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G. 2001. Pollination of a core flowering shrub species in Mediterranean phrygana: Variation in pollinator diversity, abundance and effectiveness in response to fire. Oikos 92(3), 416-425.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32. Potts, S. G.,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Petanidou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T., Roberts, S., O'Toole, C., Hulbert, 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Willmer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P. 2006. Plant-pollinator biodiversity and pollination services in a complex Mediterranean landscape. Biological Conservation 129(4), 519-529.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33. Potts, S. G.,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Vulliamy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B., Dafni, 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Ne'eman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G.,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Willmer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P. 2003. Linking bees and flowers: How do floral communities structure pollinator communities? Ecology, 84(12), 2628-2642.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34. Potts, S. G.,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Willmer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P., Dafni, 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Ne'eman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G. 2001. The utility of fundamental ecological research of plant-pollinator interactions as the basis for landscape management practices. Acta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Horticulturae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561(2), 165-172.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35. Potts, S. G.,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Vulliamy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B., Roberts, S., O'Toole, C., Dafni, 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Ne'eman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G.,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Willmer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P. 2003. Response of plant-pollinator communities to fire: Changes in diversity, abundance and floral reward structure. Oikos 101(1), 103-112.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36. Potts, S. G.,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Vulliamy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B., Roberts, S., O'Toole, C., Dafni, 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Ne'eman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G.,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Willmer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P. 2005. Role of nesting resources in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organising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diverse bee communities in a Mediterranean landscape. Ecological Entomology 30(1), 78–85.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37.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Sasal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Y.,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Farji-Brener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A., Raffaele, E. 2017. Fire modulates the effects of introduced ungulates on plant–insect interactions in a Patagonian temperate forest. Biological Invasions 19(3), 983-992.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38.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Simanonok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. 2018. Plant-pollinator network assembly after wildfire, Montana State University. Ph dissertation. Montana State University. 132 p.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39. Travers, S. E. 1999. Pollen performance of plants in recently burned and unburned environments. Ecology 80(8), 2170-2178.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40. Van Nuland, M. E., Haag, E. N., Bryant, J. A., Read, Q. D., Klein, R. N., Douglas, M. J., ... Bailey, J. K. 2013. Fire promotes pollinator visitation: Implications for ameliorating declines of pollination services.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PLoS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ONE 8(11), e79851.</w:t>
      </w:r>
    </w:p>
    <w:p w:rsidR="00673A85" w:rsidRDefault="00673A85" w:rsidP="00673A85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/>
          <w:lang w:val="en-US"/>
        </w:rPr>
      </w:pP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b/>
          <w:bCs/>
          <w:color w:val="000000"/>
          <w:lang w:val="en-US"/>
        </w:rPr>
        <w:t>List of studies included in the meta-analysis on fire effects on plant reproductive success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Araújo G.M., Amaral A.F., Bruna E.M., Vasconcelos H.L. 2013.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>Fire drives the reproductive responses of herbaceous plants in a Neotropical swamp. Plant Ecology 214, 1479-1484.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 xml:space="preserve">2.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Arneaud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L.L., Farrell A.D.,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Oatham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M.P. 2017. Marked reproductive plasticity in response to contrasting fire regimes in a neotropical palm. Tropical Ecology 58(4), 693-703.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3. Arneson L.C., Tepedino V.J., Smith S.L. 2004. Reproductive success of Baker's globe mallow and its association with a native specialist bee. Northwest Science 78, (2), 141-149.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4. Barrios B., Arellano G.,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Koptur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S. 2011. The effects of fire and fragmentation on occurrence and flowering of a rare perennial plant. Plant Ecology 212, 1057-1067.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5. Barton L.K., Menges E.S. 2018. Effects of fire and pollinator visitation on the reproductive success of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Asimina reticulata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Annonaceae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), the netted pawpaw.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Castanea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83(2), 323-333.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6. Baruch Bilbao. 1999. Effects of fire and defoliation on the life history of native and invader C4 grasses in a Neotropical savanna.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Oecologia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119, 510-520.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7. Bell T.J., Bowles M.L.,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Zettler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L.W., Pollack C.A.,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Ibberson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J.E. 2021. Environmental and management effects on demographic processes in the U.S. threatened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Platanthera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leucophaea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(Nutt.)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Lindl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Orchidaceae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). Plants 10(7), 1308.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8. Bell S. A. </w:t>
      </w:r>
      <w:proofErr w:type="gram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J ,</w:t>
      </w:r>
      <w:proofErr w:type="gram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Nigel Hunter, Andrew Steed. 2022. Lack of fire rather than pollinator absence may drive population decline in the critically endangered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Banksia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conferta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Proteaceae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). Australian Journal of Botany 70(5), 372-383.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9.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Bladow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J.M.,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Bohner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T., Winn A.A. 2017. Comparisons of demography and inbreeding depression in introduced and wild populations of an endangered shrub. Natural Areas Journal 37(3), 294-308.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10. Borchert M., Tyler C.M. 2009. Patterns of post-fire flowering and fruiting in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Chlorogalum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pomeridianum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>var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.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pomeridianum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(DC.)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Kunth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in southern California chaparral. International Journal of Wildland Fire 18(5), 623-630.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11. Bourg N.A., Gill D.E.,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McShea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W.J. 2015. Fire and canopy removal effects on demography and reproduction in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turkeybeard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Xerophyllum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asphodeloides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), a fire-dependent temperate forest herb. Journal of Sustainable Forestry 34(1-2), 71-104.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12.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Brys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R.,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Jacquemyn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H., De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Blust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G. 2005. Fire increases aboveground biomass, seed production and recruitment success of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Molinia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caerulea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in dry heathland. Acta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Oecologica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28(3), 299-305.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13. Caddy H.A.R., Gross C.L. 2006. Population structure and fecundity in the putative sterile shrub,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Grevillea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rhizomatosa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Olde Marriott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Proteaceae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). Proceedings of the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Linnean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Society of New South Wales 127, 11-18.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24995">
        <w:rPr>
          <w:rFonts w:ascii="Arial" w:hAnsi="Arial" w:cs="Arial"/>
          <w:color w:val="000000"/>
          <w:sz w:val="20"/>
          <w:szCs w:val="20"/>
        </w:rPr>
        <w:t xml:space="preserve">14. Carbone L.M., Aguilar R. 2017.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Fire frequency effects on soil and pollinators: what shapes sexual plant </w:t>
      </w:r>
      <w:proofErr w:type="gram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reproduction?.</w:t>
      </w:r>
      <w:proofErr w:type="gram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Plant Ecology 218(11-12), 1283-1297.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15. Carbone L.M.,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Cascone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G., Aguilar R. 2021. Fire frequency effects on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cleistogamy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expression and progeny performance in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Cologania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broussonetii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. Plant Biology 23(2), 285-292.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16.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Cavallero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L., Raffaele E. 2010. Fire enhances the 'competition-free' space of an invader shrub: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Rosa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rubiginosa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in northwestern Patagonia. Biological Invasions 12, 3395-3404.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17.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Chidumayo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E.N. 2006. Fitness implications of late bud break and time of burning in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Lannea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edulis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Sond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.) Engl.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Anacardiaceae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). Flora: Morphology, Distribution, Functional Ecology of Plants 201(7), 588-594.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18.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Cierjacks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A., Salgado, S.,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Wesche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K.,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Hensen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I. 2008. Post-fire population dynamics of two tree species in high-altitude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Polylepis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forests of central Ecuador.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Biotropica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40(2), 176-182.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19. Cintra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Sanaiotti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. 2005. Fire effects on the composition of a bird community in an Amazonian savanna (Brazil). Brazilian Journal of Biology, 65, 683-695.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 xml:space="preserve">20. Coates F., Duncan M. 2009. Demographic variation between populations of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Caladenia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orientalis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a fire-managed threatened orchid. Australian Journal of Botany 57(4), 326-339.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21. Collins C., Gao H., Wilkinson K.L. 2014. An observational study into the recovery of grapevines (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Vitis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vinifera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L.) following a bushfire. American Journal of Enology and Viticulture 65(3), 285-292.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22.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Conceição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a.a.</w:t>
      </w:r>
      <w:proofErr w:type="spellEnd"/>
      <w:proofErr w:type="gram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  Orr</w:t>
      </w:r>
      <w:proofErr w:type="gram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B. J. 2012. Post-fire flowering and fruiting in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Vellozia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sincorana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a caulescent rosette plant endemic to Northeast Brazil. Acta Botanica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Brasilica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26, 94-100.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23.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Conceição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A.A. 2021. Quick qualitative and quantitative changes in reproductive efforts in an open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cerrado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community: An explorative study of fire-stimulated species. Flora: Morphology, Distribution, Functional Ecology of Plants 280, 151855.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24. Copeland T.E.,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Sluis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W., Howe H.F. 2002. Fire season and dominance in an Illinois tallgrass prairie restoration. Restoration Ecology 10(2), 315-323.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25. Davies K.W., Bates J.D. 2008. The response of Thurber's needlegrass to fall prescribed burning. Rangeland Ecology and Management 61(2), 188-193.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26. De Lange J.H., Boucher C., Van Der Walt J.J.A. 1993. Autecological studies on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Audouinia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capitata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Bruniaceae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). 3. Pollination biology. South African Journal of Botany 59(2), 135-144.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27. De Lange J.H., Boucher C. 1993. Autecological studies on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Audouinia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capitata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Bruniaceae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). 4. Seed production, seed banks and seedling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recfouitment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. South African Journal of Botany 59(2), 145-155.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28. De Lange J.H., Boucher C. 1993. Autecological studies on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Audouinia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capitata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Bruniaceae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). 8. Role of fire in regeneration. South African Journal of Botany 59(2), 188-202.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29. de Sousa D.G., da Cunha H.F. 2018. Effect of fire on flowering and fruiting of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Anacardium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humile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Anacardiaceae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) in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cerrado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stricto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sensu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Revista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Arvore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42 (6), e420605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30.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Diadema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K.,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Médail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F.,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Bretagnolle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F. 2007. Fire as a control agent of demographic structure and plant performance of a rare Mediterranean endemic geophyte.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Comptes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Rendus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Biologies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330(9), 691-700.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31. Ellsworth L.M., Kauffman J.B. 2010. Native bunchgrass response to prescribed fire in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ungrazed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mountain big sagebrush ecosystems. Fire Ecology 6, 86-96.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32. Emery S. M., Gross, K. L. 2005. Effects of timing of prescribed fire on the demography of an invasive plant, spotted knapweed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Centaurea maculosa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>. Journal of Applied Ecology 42(1), 60-69.</w:t>
      </w:r>
    </w:p>
    <w:p w:rsidR="00673A85" w:rsidRDefault="00673A85" w:rsidP="00673A85">
      <w:pPr>
        <w:pStyle w:val="NormalWeb"/>
        <w:spacing w:before="0" w:beforeAutospacing="0" w:after="200" w:afterAutospacing="0"/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33. Fidelis 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Zirondi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H.L.,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Rossatto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D.R.,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Zanzarini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V. 2022. Fire stimulates grass flowering in the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Cerrado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independent of season.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Journal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Vegetation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Science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33(2), e13125.</w:t>
      </w:r>
    </w:p>
    <w:p w:rsidR="00673A85" w:rsidRDefault="00673A85" w:rsidP="00673A85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34.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Franzese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J. 2006. Dinámica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post-fuego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del arbusto nativo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Senecio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bracteolatus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Asteraceae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en los pastizales del Noroeste de la Patagonia. Tesis de licenciatura. Universidad Nacional del Comahue. 87p.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35. García Y., Clara Castellanos M., Pausas J.G. 2018.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>Differential pollinator response underlies plant reproductive resilience after fires. Annals of Botany 122(6), 961-971.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36.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Granath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G., Kouki, J., Johnson, S.,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Heikkala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O., Rodríguez, 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Strengbom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J. 2018. Trade-offs in berry production and biodiversity under prescribed burning and retention regimes in boreal </w:t>
      </w:r>
      <w:proofErr w:type="gram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forests..</w:t>
      </w:r>
      <w:proofErr w:type="gram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  Journal of Applied Ecology 55 (4), 1658-1667.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37.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Hajny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K. M., Hartnett, D. C., Wilson, G. W. 2011.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Rhus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glabra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response to season and intensity of fire in tallgrass prairie. International Journal of Wildland Fire 20(5), 709-720. 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 xml:space="preserve">38. Hamon L.E.,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Youngsteadt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E., Irwin R.E., Sorenson C.E. 2019. Pollination ecology and morphology of Venus flytrap in sites of varying time since last fire. Annals of the Entomological Society of America 112(3), 141-149.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39. Hartnett D.C. 1991. Effects of fire in tallgrass prairie on growth and reproduction of prairie coneflower (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Ratibida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columnifera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: Asteraceae). American Journal of Botany 78(3), 429-435.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40. Helm C.V., Scott S.L., Witkowski E.T.F. 2011. Reproductive potential and seed fate of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Sclerocarya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birrea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>subsp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.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caffra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marula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 in the low altitude savannas of South Africa. South African Journal of Botany 77(3), 650-664.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41. Herndon A. 1988. Ecology and systematics of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Hypoxis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sessilis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and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H.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wrightii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Hypoxidaceae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 in southern Florida. American Journal of Botany 75(12), 1803-1812.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42.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Hiers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J.K., Wyatt R., Mitchell R.J. 2000. The effects of fire regime on legume reproduction in longleaf pine savannas: Is a season </w:t>
      </w:r>
      <w:proofErr w:type="gram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selective?.</w:t>
      </w:r>
      <w:proofErr w:type="gram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Oecologia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125, 521-530.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43. </w:t>
      </w:r>
      <w:proofErr w:type="gram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Jacobs  J.S.</w:t>
      </w:r>
      <w:proofErr w:type="gram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 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Sheley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R.L. 2003. Prescribed fire effects on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dalmation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toadflax. Journal of Range Management 56(2), 193-197.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44.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Jürgens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A., Bosch, S. R., Webber, A. C., Witt, T., Frame, D.,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Gottsberger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G. 2009. Pollination biology of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Eulophia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alta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Orchidaceae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 in Amazonia: effects of pollinator composition on reproductive success in different populations. Annals of Botany 104(5), 897-912.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45. Koontz, S. M., López</w:t>
      </w:r>
      <w:r w:rsidRPr="00673A85">
        <w:rPr>
          <w:rFonts w:ascii="Cambria Math" w:hAnsi="Cambria Math" w:cs="Cambria Math"/>
          <w:color w:val="000000"/>
          <w:sz w:val="20"/>
          <w:szCs w:val="20"/>
          <w:lang w:val="en-US"/>
        </w:rPr>
        <w:t>‐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Borghesi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F., Smith, S. A., Haller Crate, S. J., Quintana</w:t>
      </w:r>
      <w:r w:rsidRPr="00673A85">
        <w:rPr>
          <w:rFonts w:ascii="Cambria Math" w:hAnsi="Cambria Math" w:cs="Cambria Math"/>
          <w:color w:val="000000"/>
          <w:sz w:val="20"/>
          <w:szCs w:val="20"/>
          <w:lang w:val="en-US"/>
        </w:rPr>
        <w:t>‐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Ascencio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P. F., Menges, E. S. 2023. Estimating vital rate variation to assess early success of scrub mint translocations. Conservation Science and Practice e12934.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46. Lantz T.C., Gergel S.E., Henry G.H.R. 2010. Response of green alder (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Alnus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viridis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subsp.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fruticosa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 patch dynamics and plant community composition to fire and regional temperature in north-western Canada. Journal of Biogeography 37(8), 1597-1610.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47. Layne J.N., Abrahamson W.G. 2004. Long-term trends in annual reproductive output of the scrub hickory: Factors influencing variation in size of nut crop. American Journal of Botany 91(9), 1378-1386.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48. Lee Molinari R., Bishop T.B.B.,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Bekker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M.F., Kitchen S.G.,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Allphin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L., St. Clair S.B. 2019. Creosote growth rate and reproduction increase in postfire environments. Ecology and Evolution 9(22), 12897-12905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49. Liu H., Menges E.S., Snyder J.R.,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Koptur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S., Ross M.S. 2005. Effects of fire intensity on vital rates of an endemic herb of the </w:t>
      </w:r>
      <w:proofErr w:type="gram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Florida keys</w:t>
      </w:r>
      <w:proofErr w:type="gram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USA. Natural Areas Journal 25(1), 71-76.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50. Lomond D., Larson D.J. 1983. Honey bees,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Apis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mellifera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(Hymenoptera: Apidae), as pollinators of lowbush blueberry,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Vaccinium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angustifollum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on Newfoundland Coastal Barrens. The Canadian Entomologist 115(12), 1647-1651.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24995">
        <w:rPr>
          <w:rFonts w:ascii="Arial" w:hAnsi="Arial" w:cs="Arial"/>
          <w:color w:val="000000"/>
          <w:sz w:val="20"/>
          <w:szCs w:val="20"/>
        </w:rPr>
        <w:t xml:space="preserve">51. </w:t>
      </w:r>
      <w:proofErr w:type="spellStart"/>
      <w:r w:rsidRPr="00624995">
        <w:rPr>
          <w:rFonts w:ascii="Arial" w:hAnsi="Arial" w:cs="Arial"/>
          <w:color w:val="000000"/>
          <w:sz w:val="20"/>
          <w:szCs w:val="20"/>
        </w:rPr>
        <w:t>Lorenzati</w:t>
      </w:r>
      <w:proofErr w:type="spellEnd"/>
      <w:r w:rsidRPr="00624995">
        <w:rPr>
          <w:rFonts w:ascii="Arial" w:hAnsi="Arial" w:cs="Arial"/>
          <w:color w:val="000000"/>
          <w:sz w:val="20"/>
          <w:szCs w:val="20"/>
        </w:rPr>
        <w:t xml:space="preserve"> M.A., </w:t>
      </w:r>
      <w:proofErr w:type="spellStart"/>
      <w:r w:rsidRPr="00624995">
        <w:rPr>
          <w:rFonts w:ascii="Arial" w:hAnsi="Arial" w:cs="Arial"/>
          <w:color w:val="000000"/>
          <w:sz w:val="20"/>
          <w:szCs w:val="20"/>
        </w:rPr>
        <w:t>Aliscioni</w:t>
      </w:r>
      <w:proofErr w:type="spellEnd"/>
      <w:r w:rsidRPr="00624995">
        <w:rPr>
          <w:rFonts w:ascii="Arial" w:hAnsi="Arial" w:cs="Arial"/>
          <w:color w:val="000000"/>
          <w:sz w:val="20"/>
          <w:szCs w:val="20"/>
        </w:rPr>
        <w:t xml:space="preserve"> N.L., Barroso F.L., </w:t>
      </w:r>
      <w:proofErr w:type="spellStart"/>
      <w:r w:rsidRPr="00624995">
        <w:rPr>
          <w:rFonts w:ascii="Arial" w:hAnsi="Arial" w:cs="Arial"/>
          <w:color w:val="000000"/>
          <w:sz w:val="20"/>
          <w:szCs w:val="20"/>
        </w:rPr>
        <w:t>Gurvich</w:t>
      </w:r>
      <w:proofErr w:type="spellEnd"/>
      <w:r w:rsidRPr="00624995">
        <w:rPr>
          <w:rFonts w:ascii="Arial" w:hAnsi="Arial" w:cs="Arial"/>
          <w:color w:val="000000"/>
          <w:sz w:val="20"/>
          <w:szCs w:val="20"/>
        </w:rPr>
        <w:t xml:space="preserve"> D.E. 2022.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Do fires affects growth, seed production and germination of the globose cactus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Gymnocalycium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monvillei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?.</w:t>
      </w:r>
      <w:proofErr w:type="gram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Journal of Arid Environments 197, 104663.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52.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Lybbert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A.H., Taylor J.,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Defranco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A., St Clair S.B. 2017. Reproductive success of wind, generalist, and specialist pollinated plant species following wildfire in desert landscapes. International Journal of Wildland Fire 26(12), 1030-1039.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53. Mallik A.U. 1994. Autecological response of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Kalmia angustifolia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to forest types and disturbance regimes. Forest Ecology and Management 65(2-3), 231-249.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54. Marquez V., Carbone L.M., Aguilar R., Ashworth L. 2019. Frequent fires do not affect sexual expression and reproduction in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Vachellia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caven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. Austral Ecology 44(4), 725-733.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>55. Menges E.S., Quintana-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Ascencio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P.F. 2004. Population viability with fire in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Eryngium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cuneifolium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: Deciphering a decade of demographic data. Ecological Monographs 74(1), 79-99.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 xml:space="preserve">56. Muir A.M.,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Vesk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P.A., Hepworth G. 2014. Reproductive trajectories over decadal time-spans after fire for eight obligate-seeder shrub species in south-eastern Australia. Australian Journal of Botany 62(5), 369-378.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57.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Ne'eman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G., Dafni A. 1999. Fire, bees, and seed production in a Mediterranean key species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Salvia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fruticosa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Miller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Lamiaceae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). Israel Journal of Plant Sciences 47(3), 157-163.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58.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Ne'eman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G., Dafni A., Potts S.G. 2000. The effect of fire on flower visitation rate and fruit set in four core-species in east Mediterranean scrubland. Plant Ecology 146, 97-104.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59.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Ostertag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R., Menges E.S. 1994. Patterns of reproductive effort with time since last fire in Florida scrub plants. Journal of Vegetation Science 5(3), 303-310.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60. Paige K.N. 1992. The effects of fire on scarlet gilia: an alternative selection pressure to </w:t>
      </w:r>
      <w:proofErr w:type="gram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herbivory?.</w:t>
      </w:r>
      <w:proofErr w:type="gram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Oecologia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92, 229-235.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61. Palermo A.C., Miranda H.S. 2012. Effect of fire on the fruit production of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Qualea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parviflora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Mart. (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Vochysiaceae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) in the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Cerrado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Revista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Arvore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36, 685-693.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62.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Paritsis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J., Raffaele E., Veblen T.T. 2006. Vegetation disturbance by fire affects plant reproductive phenology in a shrubland community in northwestern Patagonia, Argentina. New Zealand Journal of Ecology 30 (3), 387-395.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63.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Paroissien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R.,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Ooi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M.K.J. 2021. Effects of fire season on the reproductive success of the post-fire flowerer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Doryanthes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excelsa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. Environmental and Experimental Botany 192, 104634.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64. Pendergrass K.L., Miller P.M., Kauffman J.B., Kaye T.N. 1999. The role of prescribed burning in maintenance of an endangered plant species,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Lomatium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bradshawii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. Ecological Applications 9(4), 1420-1429.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65. Potts S.G., Dafni A.,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Ne'Eman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G. 2001. Pollination of a core flowering shrub species in Mediterranean phrygana: Variation in pollinator diversity, abundance and effectiveness in response to fire. Oikos 92(1), 71-80.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66. Rebozo R.R.,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Struwe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L., Bien W.F. 2019. The demography of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Gentiana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autumnalis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in populations under varying management regimes in New Jersey.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Castanea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84(2), 238-254.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67. Richardson L.K.,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Wagenius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S. 2022. Fire influences reproductive outcomes by modifying flowering phenology and mate-availability. New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Phytologist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233(5), 2083-2093.</w:t>
      </w:r>
    </w:p>
    <w:p w:rsidR="00673A85" w:rsidRPr="0062499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68. Richardson, L. K., Beck, J., Eck, D. J., Shaw, R.,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Wagenius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S. 2023. Fire effects on plant reproductive fitness vary among individuals, reflecting pollination</w:t>
      </w:r>
      <w:r w:rsidRPr="00673A85">
        <w:rPr>
          <w:rFonts w:ascii="Cambria Math" w:hAnsi="Cambria Math" w:cs="Cambria Math"/>
          <w:color w:val="000000"/>
          <w:sz w:val="20"/>
          <w:szCs w:val="20"/>
          <w:lang w:val="en-US"/>
        </w:rPr>
        <w:t>‐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dependent mechanisms. </w:t>
      </w:r>
      <w:r w:rsidRPr="00624995">
        <w:rPr>
          <w:rFonts w:ascii="Arial" w:hAnsi="Arial" w:cs="Arial"/>
          <w:color w:val="000000"/>
          <w:sz w:val="20"/>
          <w:szCs w:val="20"/>
          <w:lang w:val="en-US"/>
        </w:rPr>
        <w:t>American journal of botany, 110(4), e16160.</w:t>
      </w:r>
    </w:p>
    <w:p w:rsidR="00673A85" w:rsidRPr="0062499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69.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Sasal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Y.,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Farji-Brener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A., Raffaele E. 2017. Fire modulates the effects of introduced ungulates on plant–insect interactions in a Patagonian temperate forest. </w:t>
      </w:r>
      <w:r w:rsidRPr="00624995">
        <w:rPr>
          <w:rFonts w:ascii="Arial" w:hAnsi="Arial" w:cs="Arial"/>
          <w:color w:val="000000"/>
          <w:sz w:val="20"/>
          <w:szCs w:val="20"/>
          <w:lang w:val="en-US"/>
        </w:rPr>
        <w:t>Biological Invasions 19, 2459-2475.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70. Schafer J.L., Sullivan L.L.,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Weekley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C.W., Menges E.S. 2013. Effects of habitat and time-since-fire on recruitment, survival, and reproduction of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Paronychia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chartacea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>ssp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.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chartacea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, a short-lived Florida scrub endemic herb. Journal of the Torrey Botanical Society 140(2), 181-195.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71. Schneider G.F.,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Weekley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C.W., Menges E.S. 2016. Fire, invertebrate damage, and reproductive output in the endemic forb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Liatris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ohlingerae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(Asteraceae).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Castanea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81(3), 188-193.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72.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Setterfield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S.A. 1997. The impact of experimental fire regimes on seed production in two tropical eucalypt species in northern Australia. Austral Ecology 22(3), 279-287.</w:t>
      </w:r>
    </w:p>
    <w:p w:rsidR="00673A85" w:rsidRDefault="00673A85" w:rsidP="00673A85">
      <w:pPr>
        <w:pStyle w:val="NormalWeb"/>
        <w:spacing w:before="0" w:beforeAutospacing="0" w:after="200" w:afterAutospacing="0"/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73. Spier, L. P., Snyder, J. R. 1998. Effects of wet-and dry-season fires on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Jacquemontia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curtisii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, a south Florida pine forest endemic. </w:t>
      </w:r>
      <w:r>
        <w:rPr>
          <w:rFonts w:ascii="Arial" w:hAnsi="Arial" w:cs="Arial"/>
          <w:color w:val="000000"/>
          <w:sz w:val="20"/>
          <w:szCs w:val="20"/>
        </w:rPr>
        <w:t xml:space="preserve">Natural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Areas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Journal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18(4), 350-357.</w:t>
      </w:r>
    </w:p>
    <w:p w:rsidR="00673A85" w:rsidRDefault="00673A85" w:rsidP="00673A85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74.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Tosatto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M., L.M. Carbone. 2023. Parámetros reproductivos y ensamble de polinizadores en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Solanum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palinacanthum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bajo distintos escenarios de fuego en el Chaco Serrano. Boletín de la Sociedad Argentina de Botánica 58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supl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.), 127-128.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75.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Vickery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P. 2002.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Effects of prescribed fire on the reproductive ecology of northern blazing star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Liatris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scariosa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>var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. novae-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angliae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. American Midland Naturalist 148(1), 20-27.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76.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Vidaller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C.,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Dutoit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T., Ramone H., Bischoff A. 2019. Fire increases the reproduction of the dominant grass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Brachypodium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retusum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and Mediterranean steppe diversity in a combined burning and grazing experiment. Applied Vegetation Science 22(1), 127-137.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77.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Vilà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M.,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Lloret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F.,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Ogheri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E.,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Terradas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J. 2001. Positive fire-grass feedback in Mediterranean Basin woodlands. Forest Ecology and Management 147(1), 3-14.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78.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Vlok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gram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J.H.J.,.</w:t>
      </w:r>
      <w:proofErr w:type="gram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2020. Responses of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Watsonia</w:t>
      </w:r>
      <w:proofErr w:type="spellEnd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fourcade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and other geophytes to burning and slashing treatments in South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Outeniqua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Sandstone Fynbos. South African Journal of Botany 135, 268-273.</w:t>
      </w:r>
    </w:p>
    <w:p w:rsidR="00673A85" w:rsidRPr="00673A85" w:rsidRDefault="00673A85" w:rsidP="00673A85">
      <w:pPr>
        <w:pStyle w:val="NormalWeb"/>
        <w:spacing w:before="0" w:beforeAutospacing="0" w:after="200" w:afterAutospacing="0"/>
        <w:rPr>
          <w:lang w:val="en-US"/>
        </w:rPr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79.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Wagenius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S., Beck J., Kiefer G. 2020. Fire synchronizes flowering and boosts reproduction in a widespread but declining prairie species. Proceedings of the National Academy of Sciences of the United States of America 117(6), 3000-3005.</w:t>
      </w:r>
    </w:p>
    <w:p w:rsidR="00673A85" w:rsidRDefault="00673A85" w:rsidP="00673A85">
      <w:pPr>
        <w:pStyle w:val="NormalWeb"/>
        <w:spacing w:before="0" w:beforeAutospacing="0" w:after="200" w:afterAutospacing="0"/>
      </w:pP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80. Zammit C., </w:t>
      </w:r>
      <w:proofErr w:type="spellStart"/>
      <w:r w:rsidRPr="00673A85">
        <w:rPr>
          <w:rFonts w:ascii="Arial" w:hAnsi="Arial" w:cs="Arial"/>
          <w:color w:val="000000"/>
          <w:sz w:val="20"/>
          <w:szCs w:val="20"/>
          <w:lang w:val="en-US"/>
        </w:rPr>
        <w:t>Westoby</w:t>
      </w:r>
      <w:proofErr w:type="spellEnd"/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 M. 1987. Population structure and reproductive status of two </w:t>
      </w:r>
      <w:r w:rsidRPr="00673A8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Banksia </w:t>
      </w:r>
      <w:r w:rsidRPr="00673A85">
        <w:rPr>
          <w:rFonts w:ascii="Arial" w:hAnsi="Arial" w:cs="Arial"/>
          <w:color w:val="000000"/>
          <w:sz w:val="20"/>
          <w:szCs w:val="20"/>
          <w:lang w:val="en-US"/>
        </w:rPr>
        <w:t xml:space="preserve">shrubs at various times after fire.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Vegetatio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70, 11-20.</w:t>
      </w:r>
    </w:p>
    <w:p w:rsidR="003B60D6" w:rsidRDefault="003B60D6"/>
    <w:sectPr w:rsidR="003B6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85"/>
    <w:rsid w:val="003B60D6"/>
    <w:rsid w:val="00624995"/>
    <w:rsid w:val="0067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1C5F"/>
  <w15:chartTrackingRefBased/>
  <w15:docId w15:val="{C14214ED-86E3-4AC6-808D-3817D5BB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3838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2023-11-22T19:35:00Z</dcterms:created>
  <dcterms:modified xsi:type="dcterms:W3CDTF">2023-11-22T19:37:00Z</dcterms:modified>
</cp:coreProperties>
</file>