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Estación “Los Notros”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Ubicación: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Latitud: 41° 37’ 16.9” S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Longitud: 71° 33’ 04.0” W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Elevación: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1154 m snm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Descripción del sitio y frecuencia de observación: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Ladera norte del cerro “Montura” o “Foyel” (1800 m snm), valle inferior del rio Manso. Provincia de Río Negro, Argentina, en el límite inferior del bosque caducifolio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Nothofagus pumilio</w:t>
      </w:r>
      <w:r w:rsidDel="00000000" w:rsidR="00000000" w:rsidRPr="00000000">
        <w:rPr>
          <w:sz w:val="24"/>
          <w:szCs w:val="24"/>
          <w:rtl w:val="0"/>
        </w:rPr>
        <w:t xml:space="preserve"> nv. “Lenga”, Provincia fitogeográfica Subantártica, Unidad 50. Bosque caducifolio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Nothofagus</w:t>
      </w:r>
      <w:r w:rsidDel="00000000" w:rsidR="00000000" w:rsidRPr="00000000">
        <w:rPr>
          <w:sz w:val="24"/>
          <w:szCs w:val="24"/>
          <w:rtl w:val="0"/>
        </w:rPr>
        <w:t xml:space="preserve"> spp. y Selva pluvial templada (Bosques Andino-Patagónicos), (Oyarzábal y otros, 2018).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sitio está ubicado en un claro rodeado por arbustos de “Notro” </w:t>
      </w:r>
      <w:r w:rsidDel="00000000" w:rsidR="00000000" w:rsidRPr="00000000">
        <w:rPr>
          <w:i w:val="1"/>
          <w:sz w:val="24"/>
          <w:szCs w:val="24"/>
          <w:rtl w:val="0"/>
        </w:rPr>
        <w:t xml:space="preserve">Embothrium coccineum</w:t>
      </w:r>
      <w:r w:rsidDel="00000000" w:rsidR="00000000" w:rsidRPr="00000000">
        <w:rPr>
          <w:sz w:val="24"/>
          <w:szCs w:val="24"/>
          <w:rtl w:val="0"/>
        </w:rPr>
        <w:t xml:space="preserve"> J.R.Forst. &amp; G.Forst. de aproximadamente 2 m de altura. La cobertura vegetal del suelo es de aproximadamente 60 – 70% constituida por arbustos bajos achaparrados y algunas poaceae.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Frecuencia de muestreo: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datos corresponden a valores promedio cada 15 min. Calculados a partir de observaciones realizadas a intervalos de 30 s </w:t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Variables observadas: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siguiente lista corresponde a las variables reportadas en el archivo “CR300Claudio_Salida.DAT” bajadas del logger CR300 y trasmitidas por GOESS.</w:t>
      </w:r>
    </w:p>
    <w:p w:rsidR="00000000" w:rsidDel="00000000" w:rsidP="00000000" w:rsidRDefault="00000000" w:rsidRPr="00000000" w14:paraId="0000001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5760" w:hanging="576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"TIMESTAMP"</w:t>
      </w:r>
      <w:r w:rsidDel="00000000" w:rsidR="00000000" w:rsidRPr="00000000">
        <w:rPr>
          <w:sz w:val="24"/>
          <w:szCs w:val="24"/>
          <w:rtl w:val="0"/>
        </w:rPr>
        <w:t xml:space="preserve"> AAAA-MM-DD HH:MM:SS </w:t>
        <w:tab/>
        <w:t xml:space="preserve">Fecha y Hora local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"RECORD"</w:t>
        <w:tab/>
      </w:r>
      <w:r w:rsidDel="00000000" w:rsidR="00000000" w:rsidRPr="00000000">
        <w:rPr>
          <w:sz w:val="24"/>
          <w:szCs w:val="24"/>
          <w:rtl w:val="0"/>
        </w:rPr>
        <w:t xml:space="preserve">Número de registro</w:t>
        <w:tab/>
        <w:tab/>
        <w:tab/>
        <w:tab/>
        <w:t xml:space="preserve">[#]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"BATE_Min"</w:t>
        <w:tab/>
      </w:r>
      <w:r w:rsidDel="00000000" w:rsidR="00000000" w:rsidRPr="00000000">
        <w:rPr>
          <w:sz w:val="24"/>
          <w:szCs w:val="24"/>
          <w:rtl w:val="0"/>
        </w:rPr>
        <w:t xml:space="preserve">Voltaje mínimo de batería para el período</w:t>
        <w:tab/>
        <w:t xml:space="preserve">[V]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"TA_Avg"</w:t>
        <w:tab/>
      </w:r>
      <w:r w:rsidDel="00000000" w:rsidR="00000000" w:rsidRPr="00000000">
        <w:rPr>
          <w:sz w:val="24"/>
          <w:szCs w:val="24"/>
          <w:rtl w:val="0"/>
        </w:rPr>
        <w:t xml:space="preserve">Temperatura del aire promedio (2.5 m)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[°C]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"HRA_Avg"</w:t>
        <w:tab/>
      </w:r>
      <w:r w:rsidDel="00000000" w:rsidR="00000000" w:rsidRPr="00000000">
        <w:rPr>
          <w:sz w:val="24"/>
          <w:szCs w:val="24"/>
          <w:rtl w:val="0"/>
        </w:rPr>
        <w:t xml:space="preserve">Humedad relativa promedio (2.5 m)</w:t>
        <w:tab/>
        <w:tab/>
        <w:t xml:space="preserve">[%]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"RAD_Avg"</w:t>
        <w:tab/>
      </w:r>
      <w:r w:rsidDel="00000000" w:rsidR="00000000" w:rsidRPr="00000000">
        <w:rPr>
          <w:sz w:val="24"/>
          <w:szCs w:val="24"/>
          <w:rtl w:val="0"/>
        </w:rPr>
        <w:t xml:space="preserve">Radiación global promedio (4.5 m)</w:t>
        <w:tab/>
        <w:tab/>
        <w:t xml:space="preserve">[W 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-2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"MOJ_Avg"</w:t>
        <w:tab/>
      </w:r>
      <w:r w:rsidDel="00000000" w:rsidR="00000000" w:rsidRPr="00000000">
        <w:rPr>
          <w:sz w:val="24"/>
          <w:szCs w:val="24"/>
          <w:rtl w:val="0"/>
        </w:rPr>
        <w:t xml:space="preserve">Hoja mojada promedio (4.5 m). </w:t>
        <w:tab/>
        <w:tab/>
        <w:tab/>
        <w:tab/>
        <w:tab/>
        <w:tab/>
        <w:tab/>
        <w:tab/>
        <w:t xml:space="preserve">El valor 0.001 indica circuito</w:t>
        <w:tab/>
        <w:tab/>
        <w:tab/>
        <w:tab/>
        <w:tab/>
        <w:tab/>
        <w:tab/>
        <w:tab/>
        <w:tab/>
        <w:t xml:space="preserve">abierto: seco, o mojado por debajo del </w:t>
        <w:tab/>
        <w:tab/>
        <w:tab/>
        <w:tab/>
        <w:tab/>
        <w:tab/>
        <w:tab/>
        <w:t xml:space="preserve">umbral de detección del sistema.</w:t>
        <w:tab/>
        <w:tab/>
        <w:t xml:space="preserve">[adimensional]</w:t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"VEL_M"</w:t>
        <w:tab/>
      </w:r>
      <w:r w:rsidDel="00000000" w:rsidR="00000000" w:rsidRPr="00000000">
        <w:rPr>
          <w:sz w:val="24"/>
          <w:szCs w:val="24"/>
          <w:rtl w:val="0"/>
        </w:rPr>
        <w:t xml:space="preserve">Velocidad media del viento (4.5 m)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[m 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"VEL_VM"</w:t>
        <w:tab/>
      </w:r>
      <w:r w:rsidDel="00000000" w:rsidR="00000000" w:rsidRPr="00000000">
        <w:rPr>
          <w:sz w:val="24"/>
          <w:szCs w:val="24"/>
          <w:rtl w:val="0"/>
        </w:rPr>
        <w:t xml:space="preserve">Velocidad del viento medio (4.5 m)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[m 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"DIR_M"</w:t>
        <w:tab/>
      </w:r>
      <w:r w:rsidDel="00000000" w:rsidR="00000000" w:rsidRPr="00000000">
        <w:rPr>
          <w:sz w:val="24"/>
          <w:szCs w:val="24"/>
          <w:rtl w:val="0"/>
        </w:rPr>
        <w:t xml:space="preserve">Dirección media del viento (4.5 m)</w:t>
        <w:tab/>
        <w:tab/>
        <w:t xml:space="preserve">[Deg]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"DIR_S"</w:t>
        <w:tab/>
      </w:r>
      <w:r w:rsidDel="00000000" w:rsidR="00000000" w:rsidRPr="00000000">
        <w:rPr>
          <w:sz w:val="24"/>
          <w:szCs w:val="24"/>
          <w:rtl w:val="0"/>
        </w:rPr>
        <w:t xml:space="preserve">Desvío estándar de la dirección media del viento</w:t>
        <w:tab/>
        <w:t xml:space="preserve">[Deg]</w:t>
      </w:r>
    </w:p>
    <w:p w:rsidR="00000000" w:rsidDel="00000000" w:rsidP="00000000" w:rsidRDefault="00000000" w:rsidRPr="00000000" w14:paraId="0000001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"VEL_Std"</w:t>
        <w:tab/>
      </w:r>
      <w:r w:rsidDel="00000000" w:rsidR="00000000" w:rsidRPr="00000000">
        <w:rPr>
          <w:sz w:val="24"/>
          <w:szCs w:val="24"/>
          <w:rtl w:val="0"/>
        </w:rPr>
        <w:t xml:space="preserve">Desvío estándar de la velocidad media del viento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[m 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Nota respecto de la variable dirección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Los datos de dirección están observados en relación a la posición del norte magnético en el día de inicio del registro que corresponde a la fecha de instalación. Para obtener las direcciones corregidas al norte geográfico, deberá considerarse la deriva magnética para ese día que corresponde a un valor de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+6°40'.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Archivo: “CR300Claudio_Quedada.DAT”</w:t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Consigna registros cada 15 minutos de otras variables medidas y almacenadas en el logger CR300  no trasmitidas por GOESS.</w:t>
      </w:r>
    </w:p>
    <w:p w:rsidR="00000000" w:rsidDel="00000000" w:rsidP="00000000" w:rsidRDefault="00000000" w:rsidRPr="00000000" w14:paraId="0000002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“TIMESTAMP” 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Fecha y hora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“RECORD” 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Número de orden de registro</w:t>
        <w:tab/>
        <w:tab/>
        <w:tab/>
        <w:t xml:space="preserve">[#]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“BATE_max”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Voltaje máximo de batería para el período </w:t>
        <w:tab/>
        <w:t xml:space="preserve">[V]</w:t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“TINT_avg”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Promedio de la temperatura interna</w:t>
        <w:tab/>
        <w:tab/>
        <w:tab/>
        <w:tab/>
        <w:tab/>
        <w:tab/>
        <w:tab/>
        <w:tab/>
        <w:t xml:space="preserve">del logger para el período </w:t>
        <w:tab/>
        <w:tab/>
        <w:tab/>
        <w:t xml:space="preserve">[°C]</w:t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“TINT_std”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Desvío estándar de la temperatura </w:t>
        <w:tab/>
        <w:tab/>
        <w:tab/>
        <w:tab/>
        <w:tab/>
        <w:tab/>
        <w:tab/>
        <w:tab/>
        <w:t xml:space="preserve">interna del logger para el período </w:t>
        <w:tab/>
        <w:tab/>
        <w:t xml:space="preserve">[°C]</w:t>
      </w:r>
    </w:p>
    <w:p w:rsidR="00000000" w:rsidDel="00000000" w:rsidP="00000000" w:rsidRDefault="00000000" w:rsidRPr="00000000" w14:paraId="0000002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“TA_std”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Desvío estándar de la temperatura </w:t>
        <w:tab/>
        <w:tab/>
        <w:tab/>
        <w:tab/>
        <w:tab/>
        <w:tab/>
        <w:tab/>
        <w:tab/>
        <w:t xml:space="preserve">del aire para el período </w:t>
        <w:tab/>
        <w:tab/>
        <w:tab/>
        <w:t xml:space="preserve">[°C]</w:t>
      </w:r>
    </w:p>
    <w:p w:rsidR="00000000" w:rsidDel="00000000" w:rsidP="00000000" w:rsidRDefault="00000000" w:rsidRPr="00000000" w14:paraId="0000002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“HRA_std”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Desvío estándar de la humedad relativa</w:t>
        <w:tab/>
        <w:tab/>
        <w:tab/>
        <w:tab/>
        <w:tab/>
        <w:tab/>
        <w:tab/>
        <w:t xml:space="preserve">del aire para el período </w:t>
        <w:tab/>
        <w:tab/>
        <w:tab/>
        <w:t xml:space="preserve">[%]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“RAD_std”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Desvío estándar de la radiación global</w:t>
        <w:tab/>
        <w:t xml:space="preserve">[W 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-2</w:t>
      </w:r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2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“MOJ_max”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Valor máximo de mojado para </w:t>
        <w:tab/>
        <w:tab/>
        <w:tab/>
        <w:tab/>
        <w:tab/>
        <w:tab/>
        <w:tab/>
        <w:tab/>
        <w:t xml:space="preserve">el período. El valor 0.001 indica circuito</w:t>
        <w:tab/>
        <w:tab/>
        <w:tab/>
        <w:tab/>
        <w:tab/>
        <w:tab/>
        <w:tab/>
        <w:t xml:space="preserve">abierto: seco, o mojado por debajo del </w:t>
        <w:tab/>
        <w:tab/>
        <w:tab/>
        <w:tab/>
        <w:tab/>
        <w:tab/>
        <w:tab/>
        <w:t xml:space="preserve">umbral de detección del sistema.</w:t>
        <w:tab/>
        <w:tab/>
        <w:tab/>
        <w:tab/>
        <w:tab/>
        <w:tab/>
        <w:tab/>
        <w:tab/>
        <w:tab/>
        <w:tab/>
        <w:tab/>
        <w:tab/>
        <w:tab/>
        <w:tab/>
        <w:t xml:space="preserve">[adimensional]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Instrumental:</w:t>
      </w:r>
    </w:p>
    <w:p w:rsidR="00000000" w:rsidDel="00000000" w:rsidP="00000000" w:rsidRDefault="00000000" w:rsidRPr="00000000" w14:paraId="0000002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MOJ: sensor de hoja mojada ARDUINO</w:t>
      </w:r>
    </w:p>
    <w:p w:rsidR="00000000" w:rsidDel="00000000" w:rsidP="00000000" w:rsidRDefault="00000000" w:rsidRPr="00000000" w14:paraId="0000002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VEL, DIR: sensor Windsonic4 (Young)</w:t>
      </w:r>
    </w:p>
    <w:p w:rsidR="00000000" w:rsidDel="00000000" w:rsidP="00000000" w:rsidRDefault="00000000" w:rsidRPr="00000000" w14:paraId="0000002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TA, HRA: sensor HMP155A termohigrómetro (Vaisala)</w:t>
      </w:r>
    </w:p>
    <w:p w:rsidR="00000000" w:rsidDel="00000000" w:rsidP="00000000" w:rsidRDefault="00000000" w:rsidRPr="00000000" w14:paraId="0000003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RAD: piranómetro fabricado por CNEA</w:t>
      </w:r>
    </w:p>
    <w:p w:rsidR="00000000" w:rsidDel="00000000" w:rsidP="00000000" w:rsidRDefault="00000000" w:rsidRPr="00000000" w14:paraId="0000003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Almacenamiento y trasmisión:</w:t>
      </w:r>
    </w:p>
    <w:p w:rsidR="00000000" w:rsidDel="00000000" w:rsidP="00000000" w:rsidRDefault="00000000" w:rsidRPr="00000000" w14:paraId="0000003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Datalogger Campbell Sci CR300</w:t>
      </w:r>
    </w:p>
    <w:p w:rsidR="00000000" w:rsidDel="00000000" w:rsidP="00000000" w:rsidRDefault="00000000" w:rsidRPr="00000000" w14:paraId="0000003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Trasmisor GOES Campbell Sci TX321</w:t>
      </w:r>
    </w:p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Consultas</w:t>
      </w:r>
    </w:p>
    <w:p w:rsidR="00000000" w:rsidDel="00000000" w:rsidP="00000000" w:rsidRDefault="00000000" w:rsidRPr="00000000" w14:paraId="00000037">
      <w:pPr>
        <w:pageBreakBefore w:val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Claudio F. Pérez </w:t>
      </w:r>
    </w:p>
    <w:p w:rsidR="00000000" w:rsidDel="00000000" w:rsidP="00000000" w:rsidRDefault="00000000" w:rsidRPr="00000000" w14:paraId="00000038">
      <w:pPr>
        <w:pageBreakBefore w:val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Departamento de Ciencias de la Atmósfera y los Oceanos</w:t>
      </w:r>
    </w:p>
    <w:p w:rsidR="00000000" w:rsidDel="00000000" w:rsidP="00000000" w:rsidRDefault="00000000" w:rsidRPr="00000000" w14:paraId="00000039">
      <w:pPr>
        <w:pageBreakBefore w:val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Facultad de Ciencias Exactas y Naturales, Universidad de Buenos Aires</w:t>
      </w:r>
    </w:p>
    <w:p w:rsidR="00000000" w:rsidDel="00000000" w:rsidP="00000000" w:rsidRDefault="00000000" w:rsidRPr="00000000" w14:paraId="0000003A">
      <w:pPr>
        <w:pageBreakBefore w:val="0"/>
        <w:rPr>
          <w:b w:val="1"/>
          <w:sz w:val="23"/>
          <w:szCs w:val="23"/>
        </w:rPr>
      </w:pPr>
      <w:hyperlink r:id="rId7">
        <w:r w:rsidDel="00000000" w:rsidR="00000000" w:rsidRPr="00000000">
          <w:rPr>
            <w:b w:val="1"/>
            <w:color w:val="1155cc"/>
            <w:sz w:val="23"/>
            <w:szCs w:val="23"/>
            <w:u w:val="single"/>
            <w:rtl w:val="0"/>
          </w:rPr>
          <w:t xml:space="preserve">perez@at.fcen.uba.ar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  <w:sz w:val="23"/>
          <w:szCs w:val="23"/>
        </w:rPr>
      </w:pPr>
      <w:hyperlink r:id="rId8">
        <w:r w:rsidDel="00000000" w:rsidR="00000000" w:rsidRPr="00000000">
          <w:rPr>
            <w:b w:val="1"/>
            <w:color w:val="1155cc"/>
            <w:sz w:val="23"/>
            <w:szCs w:val="23"/>
            <w:u w:val="single"/>
            <w:rtl w:val="0"/>
          </w:rPr>
          <w:t xml:space="preserve">ulises2930@gmail.com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Bibliografía:</w:t>
      </w:r>
    </w:p>
    <w:p w:rsidR="00000000" w:rsidDel="00000000" w:rsidP="00000000" w:rsidRDefault="00000000" w:rsidRPr="00000000" w14:paraId="0000003E">
      <w:pPr>
        <w:pageBreakBefore w:val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Oyarzabal, M., Clavijo, J., Oakley, L., Bigazoli, F., Tognetti, P., Barberis, I., Maturo, H. M., Aragón, R., Campanello, P. I., Prado, D., Oesterheld, M. y León, R. J. C. 2018. Unidades de vegetación de la Argentina. </w:t>
      </w:r>
      <w:r w:rsidDel="00000000" w:rsidR="00000000" w:rsidRPr="00000000">
        <w:rPr>
          <w:rFonts w:ascii="Calibri" w:cs="Calibri" w:eastAsia="Calibri" w:hAnsi="Calibri"/>
          <w:i w:val="1"/>
          <w:sz w:val="23"/>
          <w:szCs w:val="23"/>
          <w:rtl w:val="0"/>
        </w:rPr>
        <w:t xml:space="preserve">Ecología Austral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28(1): 40 – 63.</w:t>
      </w:r>
    </w:p>
    <w:p w:rsidR="00000000" w:rsidDel="00000000" w:rsidP="00000000" w:rsidRDefault="00000000" w:rsidRPr="00000000" w14:paraId="0000003F">
      <w:pPr>
        <w:pageBreakBefore w:val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rez@at.fcen.uba.ar" TargetMode="External"/><Relationship Id="rId8" Type="http://schemas.openxmlformats.org/officeDocument/2006/relationships/hyperlink" Target="mailto:ulises293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4H5PfELX7KdcR2RrBd2p0/Uiw==">CgMxLjAyCGguZ2pkZ3hzOAByITFEendIMFNHRGFFNVdFaEl3Y1N1Vi1PekpPLXBsSUdqMg==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2021-04-08T16:49:00Z</dcterms:created>
  <dc:creator>Claudio Pérez</dc:creator>
</cp:coreProperties>
</file>