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E98C" w14:textId="2E287056" w:rsidR="00477BED" w:rsidRDefault="00477BED" w:rsidP="00477BED">
      <w:pPr>
        <w:pStyle w:val="Heading1"/>
        <w:jc w:val="left"/>
      </w:pPr>
      <w:r>
        <w:t xml:space="preserve">Segmentación socioeconómica de hogares </w:t>
      </w:r>
      <w:r w:rsidR="00994178">
        <w:t xml:space="preserve">en </w:t>
      </w:r>
      <w:r>
        <w:t xml:space="preserve">Argentina </w:t>
      </w:r>
    </w:p>
    <w:p w14:paraId="6FBDF307" w14:textId="5EFE37AE" w:rsidR="00477BED" w:rsidRPr="00477BED" w:rsidRDefault="00477BED" w:rsidP="00477BED">
      <w:pPr>
        <w:pStyle w:val="Heading1"/>
        <w:jc w:val="left"/>
        <w:rPr>
          <w:b w:val="0"/>
          <w:bCs/>
          <w:sz w:val="24"/>
          <w:szCs w:val="24"/>
        </w:rPr>
      </w:pPr>
      <w:r w:rsidRPr="00477BED">
        <w:rPr>
          <w:b w:val="0"/>
          <w:bCs/>
          <w:sz w:val="24"/>
          <w:szCs w:val="24"/>
        </w:rPr>
        <w:t>Autores: Agustín Salvia y Pablo De Grande</w:t>
      </w:r>
    </w:p>
    <w:p w14:paraId="10793444" w14:textId="41B24997" w:rsidR="00F22243" w:rsidRPr="00F22243" w:rsidRDefault="00F22243" w:rsidP="00F22243">
      <w:pPr>
        <w:pStyle w:val="Heading1"/>
      </w:pPr>
      <w:r w:rsidRPr="00F008C2">
        <w:t>Definiciones metodológicas</w:t>
      </w:r>
    </w:p>
    <w:p w14:paraId="14D6DB83" w14:textId="77777777" w:rsidR="00D1604D" w:rsidRDefault="00D1604D" w:rsidP="00A43D32">
      <w:pPr>
        <w:jc w:val="center"/>
        <w:rPr>
          <w:b/>
          <w:lang w:val="es-AR"/>
        </w:rPr>
      </w:pPr>
    </w:p>
    <w:p w14:paraId="11AFFD05" w14:textId="77777777" w:rsidR="00BE3266" w:rsidRPr="00F008C2" w:rsidRDefault="00F22243" w:rsidP="00DD7BA0">
      <w:pPr>
        <w:pStyle w:val="Heading2"/>
      </w:pPr>
      <w:r>
        <w:t>Introducción</w:t>
      </w:r>
    </w:p>
    <w:p w14:paraId="1C085416" w14:textId="77777777" w:rsidR="000865FD" w:rsidRDefault="00477BED" w:rsidP="00D454F6">
      <w:pPr>
        <w:jc w:val="both"/>
        <w:rPr>
          <w:lang w:val="es-ES"/>
        </w:rPr>
      </w:pPr>
      <w:r w:rsidRPr="00477BED">
        <w:rPr>
          <w:lang w:val="es-ES"/>
        </w:rPr>
        <w:t xml:space="preserve">En este documento se describen los procedimientos utilizados para la elaboración de la segmentación socioeconómica de </w:t>
      </w:r>
      <w:r w:rsidR="000865FD">
        <w:rPr>
          <w:lang w:val="es-ES"/>
        </w:rPr>
        <w:t xml:space="preserve">hogares según </w:t>
      </w:r>
      <w:r>
        <w:rPr>
          <w:lang w:val="es-ES"/>
        </w:rPr>
        <w:t>radio</w:t>
      </w:r>
      <w:r w:rsidR="000865FD">
        <w:rPr>
          <w:lang w:val="es-ES"/>
        </w:rPr>
        <w:t xml:space="preserve"> de residencia</w:t>
      </w:r>
      <w:r w:rsidRPr="00477BED">
        <w:rPr>
          <w:lang w:val="es-ES"/>
        </w:rPr>
        <w:t xml:space="preserve"> de Argentina. </w:t>
      </w:r>
    </w:p>
    <w:p w14:paraId="45F2F9E2" w14:textId="0395DE00" w:rsidR="00477BED" w:rsidRPr="00F675CF" w:rsidRDefault="00477BED" w:rsidP="00D454F6">
      <w:pPr>
        <w:jc w:val="both"/>
        <w:rPr>
          <w:lang w:val="es-AR"/>
        </w:rPr>
      </w:pPr>
      <w:r w:rsidRPr="00477BED">
        <w:rPr>
          <w:lang w:val="es-ES"/>
        </w:rPr>
        <w:t>Se describen los criterios aplicados en la construcción de los segmentos socioeconómicos y los niveles de marginalidad</w:t>
      </w:r>
      <w:r w:rsidR="000865FD">
        <w:rPr>
          <w:lang w:val="es-ES"/>
        </w:rPr>
        <w:t xml:space="preserve"> y los </w:t>
      </w:r>
      <w:r w:rsidRPr="00477BED">
        <w:rPr>
          <w:lang w:val="es-ES"/>
        </w:rPr>
        <w:t xml:space="preserve">indicadores </w:t>
      </w:r>
      <w:r w:rsidR="000865FD">
        <w:rPr>
          <w:lang w:val="es-ES"/>
        </w:rPr>
        <w:t xml:space="preserve">calculados </w:t>
      </w:r>
      <w:r w:rsidRPr="00477BED">
        <w:rPr>
          <w:lang w:val="es-ES"/>
        </w:rPr>
        <w:t>para la población</w:t>
      </w:r>
      <w:r w:rsidR="000865FD">
        <w:rPr>
          <w:lang w:val="es-ES"/>
        </w:rPr>
        <w:t xml:space="preserve"> de cada radio</w:t>
      </w:r>
      <w:r w:rsidRPr="00477BED">
        <w:rPr>
          <w:lang w:val="es-ES"/>
        </w:rPr>
        <w:t xml:space="preserve">. </w:t>
      </w:r>
    </w:p>
    <w:p w14:paraId="0395E8D1" w14:textId="2C42B23B" w:rsidR="00F22243" w:rsidRPr="00F22243" w:rsidRDefault="00F22243" w:rsidP="00DD7BA0">
      <w:pPr>
        <w:pStyle w:val="Heading2"/>
      </w:pPr>
      <w:r w:rsidRPr="00F22243">
        <w:t xml:space="preserve">Criterios de </w:t>
      </w:r>
      <w:r w:rsidR="000865FD">
        <w:t>clasificación</w:t>
      </w:r>
    </w:p>
    <w:p w14:paraId="29114B75" w14:textId="77777777" w:rsidR="00F008C2" w:rsidRPr="00F22243" w:rsidRDefault="00F675CF" w:rsidP="00DD7BA0">
      <w:pPr>
        <w:pStyle w:val="Heading3"/>
      </w:pPr>
      <w:r w:rsidRPr="00F22243">
        <w:t xml:space="preserve">Segmentos socioeconómicos </w:t>
      </w:r>
    </w:p>
    <w:p w14:paraId="17887D74" w14:textId="386D2220" w:rsidR="00F008C2" w:rsidRDefault="00F008C2" w:rsidP="00D454F6">
      <w:pPr>
        <w:jc w:val="both"/>
        <w:rPr>
          <w:lang w:val="es-AR"/>
        </w:rPr>
      </w:pPr>
      <w:r>
        <w:rPr>
          <w:lang w:val="es-AR"/>
        </w:rPr>
        <w:t xml:space="preserve">El procedimiento de identificación de </w:t>
      </w:r>
      <w:r w:rsidR="00F675CF">
        <w:rPr>
          <w:lang w:val="es-AR"/>
        </w:rPr>
        <w:t xml:space="preserve">los segmentos socioeconómicos </w:t>
      </w:r>
      <w:r>
        <w:rPr>
          <w:lang w:val="es-AR"/>
        </w:rPr>
        <w:t xml:space="preserve">ha sido realizado a partir de información del Censo Nacional de Población, Hogares y Vivienda 2010. Se ha procurado extraer características clave para el reconocimiento de condiciones de </w:t>
      </w:r>
      <w:r w:rsidR="00F675CF">
        <w:rPr>
          <w:lang w:val="es-AR"/>
        </w:rPr>
        <w:t>vida</w:t>
      </w:r>
      <w:r>
        <w:rPr>
          <w:lang w:val="es-AR"/>
        </w:rPr>
        <w:t xml:space="preserve">, con el propósito de </w:t>
      </w:r>
      <w:r w:rsidR="00F675CF">
        <w:rPr>
          <w:lang w:val="es-AR"/>
        </w:rPr>
        <w:t xml:space="preserve">clasificar las poblaciones a según su pertenencia socioeconómica a nivel de </w:t>
      </w:r>
      <w:r w:rsidR="000865FD">
        <w:rPr>
          <w:lang w:val="es-AR"/>
        </w:rPr>
        <w:t>radios, de</w:t>
      </w:r>
      <w:r w:rsidR="00F675CF">
        <w:rPr>
          <w:lang w:val="es-AR"/>
        </w:rPr>
        <w:t xml:space="preserve"> modo de poder </w:t>
      </w:r>
      <w:r>
        <w:rPr>
          <w:lang w:val="es-AR"/>
        </w:rPr>
        <w:t>georreferenciar dichas zonas del territorio.</w:t>
      </w:r>
    </w:p>
    <w:p w14:paraId="6A419C96" w14:textId="77777777" w:rsidR="00BB18CD" w:rsidRDefault="00BB18CD" w:rsidP="00BB18CD">
      <w:pPr>
        <w:jc w:val="both"/>
        <w:rPr>
          <w:lang w:val="es-AR"/>
        </w:rPr>
      </w:pPr>
      <w:r>
        <w:rPr>
          <w:lang w:val="es-AR"/>
        </w:rPr>
        <w:t xml:space="preserve">Para esto se </w:t>
      </w:r>
      <w:r w:rsidR="007A13D0">
        <w:rPr>
          <w:lang w:val="es-AR"/>
        </w:rPr>
        <w:t>establecieron puntos de corte en dimensiones del hábitat y del capital socioeducativo de los hogares que aplicado</w:t>
      </w:r>
      <w:r>
        <w:rPr>
          <w:lang w:val="es-AR"/>
        </w:rPr>
        <w:t>s en form</w:t>
      </w:r>
      <w:r w:rsidR="007A13D0">
        <w:rPr>
          <w:lang w:val="es-AR"/>
        </w:rPr>
        <w:t>a sucesiva permitiero</w:t>
      </w:r>
      <w:r>
        <w:rPr>
          <w:lang w:val="es-AR"/>
        </w:rPr>
        <w:t xml:space="preserve">n clasificar a la población según características habitacionales y </w:t>
      </w:r>
      <w:proofErr w:type="spellStart"/>
      <w:r>
        <w:rPr>
          <w:lang w:val="es-AR"/>
        </w:rPr>
        <w:t>socioeducacionales</w:t>
      </w:r>
      <w:proofErr w:type="spellEnd"/>
      <w:r>
        <w:rPr>
          <w:lang w:val="es-AR"/>
        </w:rPr>
        <w:t xml:space="preserve">. De este modo se obtuvieron 7 segmentos: </w:t>
      </w:r>
      <w:r w:rsidRPr="00BB18CD">
        <w:rPr>
          <w:lang w:val="es-AR"/>
        </w:rPr>
        <w:t>Clase alta</w:t>
      </w:r>
      <w:r>
        <w:rPr>
          <w:lang w:val="es-AR"/>
        </w:rPr>
        <w:t xml:space="preserve">, </w:t>
      </w:r>
      <w:r w:rsidRPr="00BB18CD">
        <w:rPr>
          <w:lang w:val="es-AR"/>
        </w:rPr>
        <w:t>Clase media alta</w:t>
      </w:r>
      <w:r>
        <w:rPr>
          <w:lang w:val="es-AR"/>
        </w:rPr>
        <w:t xml:space="preserve">, </w:t>
      </w:r>
      <w:r w:rsidRPr="00BB18CD">
        <w:rPr>
          <w:lang w:val="es-AR"/>
        </w:rPr>
        <w:t>Clase media</w:t>
      </w:r>
      <w:r>
        <w:rPr>
          <w:lang w:val="es-AR"/>
        </w:rPr>
        <w:t xml:space="preserve">, </w:t>
      </w:r>
      <w:r w:rsidRPr="00BB18CD">
        <w:rPr>
          <w:lang w:val="es-AR"/>
        </w:rPr>
        <w:t>Clase media baja</w:t>
      </w:r>
      <w:r>
        <w:rPr>
          <w:lang w:val="es-AR"/>
        </w:rPr>
        <w:t xml:space="preserve">, </w:t>
      </w:r>
      <w:r w:rsidRPr="00BB18CD">
        <w:rPr>
          <w:lang w:val="es-AR"/>
        </w:rPr>
        <w:t>Populares</w:t>
      </w:r>
      <w:r>
        <w:rPr>
          <w:lang w:val="es-AR"/>
        </w:rPr>
        <w:t xml:space="preserve">, </w:t>
      </w:r>
      <w:r w:rsidRPr="00BB18CD">
        <w:rPr>
          <w:lang w:val="es-AR"/>
        </w:rPr>
        <w:t>Muy pobres</w:t>
      </w:r>
      <w:r>
        <w:rPr>
          <w:lang w:val="es-AR"/>
        </w:rPr>
        <w:t xml:space="preserve">, e </w:t>
      </w:r>
      <w:r w:rsidRPr="00BB18CD">
        <w:rPr>
          <w:lang w:val="es-AR"/>
        </w:rPr>
        <w:t>Indigente</w:t>
      </w:r>
      <w:r>
        <w:rPr>
          <w:lang w:val="es-AR"/>
        </w:rPr>
        <w:t>.</w:t>
      </w:r>
    </w:p>
    <w:p w14:paraId="72211156" w14:textId="77777777" w:rsidR="008C3342" w:rsidRDefault="008C3342" w:rsidP="00BB18CD">
      <w:pPr>
        <w:jc w:val="both"/>
        <w:rPr>
          <w:lang w:val="es-AR"/>
        </w:rPr>
      </w:pPr>
      <w:r>
        <w:rPr>
          <w:lang w:val="es-AR"/>
        </w:rPr>
        <w:t xml:space="preserve">Adicionalmente, se establecieron requisitos mínimos de densidad de población que refuercen la caracterización urbana de los radios. Para ello, en los segmentos de Clase alta y Clase media </w:t>
      </w:r>
      <w:proofErr w:type="gramStart"/>
      <w:r>
        <w:rPr>
          <w:lang w:val="es-AR"/>
        </w:rPr>
        <w:t>alta  se</w:t>
      </w:r>
      <w:proofErr w:type="gramEnd"/>
      <w:r>
        <w:rPr>
          <w:lang w:val="es-AR"/>
        </w:rPr>
        <w:t xml:space="preserve"> </w:t>
      </w:r>
      <w:proofErr w:type="gramStart"/>
      <w:r>
        <w:rPr>
          <w:lang w:val="es-AR"/>
        </w:rPr>
        <w:t>excluyó  a</w:t>
      </w:r>
      <w:proofErr w:type="gramEnd"/>
      <w:r>
        <w:rPr>
          <w:lang w:val="es-AR"/>
        </w:rPr>
        <w:t xml:space="preserve"> los radios que tuvieran menos de 50 personas por km</w:t>
      </w:r>
      <w:r w:rsidRPr="008C3342">
        <w:rPr>
          <w:vertAlign w:val="superscript"/>
          <w:lang w:val="es-AR"/>
        </w:rPr>
        <w:t>2</w:t>
      </w:r>
      <w:r>
        <w:rPr>
          <w:lang w:val="es-AR"/>
        </w:rPr>
        <w:t>, mientras que en los demás segmentos se excluyó a las poblaciones en radios de menos de 250 personas por km</w:t>
      </w:r>
      <w:r w:rsidRPr="008C3342">
        <w:rPr>
          <w:vertAlign w:val="superscript"/>
          <w:lang w:val="es-AR"/>
        </w:rPr>
        <w:t>2</w:t>
      </w:r>
      <w:r>
        <w:rPr>
          <w:lang w:val="es-AR"/>
        </w:rPr>
        <w:t>.</w:t>
      </w:r>
    </w:p>
    <w:p w14:paraId="79A31131" w14:textId="77777777" w:rsidR="00F008C2" w:rsidRDefault="00F008C2" w:rsidP="009951A2">
      <w:pPr>
        <w:keepNext/>
        <w:jc w:val="both"/>
        <w:rPr>
          <w:lang w:val="es-AR"/>
        </w:rPr>
      </w:pPr>
      <w:r>
        <w:rPr>
          <w:lang w:val="es-AR"/>
        </w:rPr>
        <w:lastRenderedPageBreak/>
        <w:t xml:space="preserve">Los </w:t>
      </w:r>
      <w:r w:rsidR="00F675CF">
        <w:rPr>
          <w:lang w:val="es-AR"/>
        </w:rPr>
        <w:t xml:space="preserve">criterios utilizados para </w:t>
      </w:r>
      <w:r>
        <w:rPr>
          <w:lang w:val="es-AR"/>
        </w:rPr>
        <w:t xml:space="preserve">la </w:t>
      </w:r>
      <w:r w:rsidR="00F675CF">
        <w:rPr>
          <w:lang w:val="es-AR"/>
        </w:rPr>
        <w:t>elaboración de los segmentos fueron</w:t>
      </w:r>
      <w:r w:rsidR="00E12EEE">
        <w:rPr>
          <w:rStyle w:val="FootnoteReference"/>
          <w:lang w:val="es-AR"/>
        </w:rPr>
        <w:footnoteReference w:id="1"/>
      </w:r>
      <w:r>
        <w:rPr>
          <w:lang w:val="es-AR"/>
        </w:rPr>
        <w:t>:</w:t>
      </w:r>
    </w:p>
    <w:tbl>
      <w:tblPr>
        <w:tblStyle w:val="TableGrid"/>
        <w:tblW w:w="0" w:type="auto"/>
        <w:tblBorders>
          <w:left w:val="none" w:sz="0" w:space="0" w:color="auto"/>
        </w:tblBorders>
        <w:tblLayout w:type="fixed"/>
        <w:tblCellMar>
          <w:left w:w="57" w:type="dxa"/>
          <w:right w:w="57" w:type="dxa"/>
        </w:tblCellMar>
        <w:tblLook w:val="04A0" w:firstRow="1" w:lastRow="0" w:firstColumn="1" w:lastColumn="0" w:noHBand="0" w:noVBand="1"/>
      </w:tblPr>
      <w:tblGrid>
        <w:gridCol w:w="1221"/>
        <w:gridCol w:w="921"/>
        <w:gridCol w:w="1175"/>
        <w:gridCol w:w="545"/>
        <w:gridCol w:w="873"/>
        <w:gridCol w:w="1206"/>
        <w:gridCol w:w="999"/>
        <w:gridCol w:w="1213"/>
        <w:gridCol w:w="337"/>
        <w:gridCol w:w="984"/>
      </w:tblGrid>
      <w:tr w:rsidR="00BB18CD" w:rsidRPr="009951A2" w14:paraId="5A1C506B" w14:textId="77777777" w:rsidTr="00BB18CD">
        <w:tc>
          <w:tcPr>
            <w:tcW w:w="2142" w:type="dxa"/>
            <w:gridSpan w:val="2"/>
            <w:tcBorders>
              <w:top w:val="single" w:sz="12" w:space="0" w:color="000000" w:themeColor="text1"/>
              <w:left w:val="single" w:sz="4" w:space="0" w:color="000000" w:themeColor="text1"/>
              <w:bottom w:val="single" w:sz="12" w:space="0" w:color="000000" w:themeColor="text1"/>
            </w:tcBorders>
            <w:shd w:val="clear" w:color="auto" w:fill="F2F2F2" w:themeFill="background1" w:themeFillShade="F2"/>
          </w:tcPr>
          <w:p w14:paraId="7FD775DD" w14:textId="77777777" w:rsidR="00BB18CD" w:rsidRPr="009951A2" w:rsidRDefault="00BB18CD" w:rsidP="009951A2">
            <w:pPr>
              <w:keepNext/>
              <w:jc w:val="center"/>
              <w:rPr>
                <w:sz w:val="20"/>
                <w:szCs w:val="20"/>
                <w:lang w:val="es-AR"/>
              </w:rPr>
            </w:pPr>
            <w:r w:rsidRPr="009951A2">
              <w:rPr>
                <w:sz w:val="20"/>
                <w:szCs w:val="20"/>
                <w:lang w:val="es-AR"/>
              </w:rPr>
              <w:t>Criterio 1</w:t>
            </w:r>
          </w:p>
        </w:tc>
        <w:tc>
          <w:tcPr>
            <w:tcW w:w="1720" w:type="dxa"/>
            <w:gridSpan w:val="2"/>
            <w:tcBorders>
              <w:top w:val="single" w:sz="12" w:space="0" w:color="000000" w:themeColor="text1"/>
              <w:bottom w:val="single" w:sz="12" w:space="0" w:color="000000" w:themeColor="text1"/>
            </w:tcBorders>
            <w:shd w:val="clear" w:color="auto" w:fill="F2F2F2" w:themeFill="background1" w:themeFillShade="F2"/>
          </w:tcPr>
          <w:p w14:paraId="07D1A33D" w14:textId="77777777" w:rsidR="00BB18CD" w:rsidRPr="009951A2" w:rsidRDefault="00BB18CD" w:rsidP="009951A2">
            <w:pPr>
              <w:keepNext/>
              <w:jc w:val="center"/>
              <w:rPr>
                <w:sz w:val="20"/>
                <w:szCs w:val="20"/>
                <w:lang w:val="es-AR"/>
              </w:rPr>
            </w:pPr>
            <w:r w:rsidRPr="009951A2">
              <w:rPr>
                <w:sz w:val="20"/>
                <w:szCs w:val="20"/>
                <w:lang w:val="es-AR"/>
              </w:rPr>
              <w:t>Criterio 2</w:t>
            </w:r>
          </w:p>
        </w:tc>
        <w:tc>
          <w:tcPr>
            <w:tcW w:w="2079" w:type="dxa"/>
            <w:gridSpan w:val="2"/>
            <w:tcBorders>
              <w:top w:val="single" w:sz="12" w:space="0" w:color="000000" w:themeColor="text1"/>
              <w:bottom w:val="single" w:sz="12" w:space="0" w:color="000000" w:themeColor="text1"/>
            </w:tcBorders>
            <w:shd w:val="clear" w:color="auto" w:fill="F2F2F2" w:themeFill="background1" w:themeFillShade="F2"/>
          </w:tcPr>
          <w:p w14:paraId="107009B2" w14:textId="77777777" w:rsidR="00BB18CD" w:rsidRPr="009951A2" w:rsidRDefault="00BB18CD" w:rsidP="009951A2">
            <w:pPr>
              <w:keepNext/>
              <w:jc w:val="center"/>
              <w:rPr>
                <w:sz w:val="20"/>
                <w:szCs w:val="20"/>
                <w:lang w:val="es-AR"/>
              </w:rPr>
            </w:pPr>
            <w:r w:rsidRPr="009951A2">
              <w:rPr>
                <w:sz w:val="20"/>
                <w:szCs w:val="20"/>
                <w:lang w:val="es-AR"/>
              </w:rPr>
              <w:t>Criterio 3</w:t>
            </w:r>
          </w:p>
        </w:tc>
        <w:tc>
          <w:tcPr>
            <w:tcW w:w="2212" w:type="dxa"/>
            <w:gridSpan w:val="2"/>
            <w:tcBorders>
              <w:top w:val="single" w:sz="12" w:space="0" w:color="000000" w:themeColor="text1"/>
              <w:bottom w:val="single" w:sz="12" w:space="0" w:color="000000" w:themeColor="text1"/>
            </w:tcBorders>
            <w:shd w:val="clear" w:color="auto" w:fill="F2F2F2" w:themeFill="background1" w:themeFillShade="F2"/>
          </w:tcPr>
          <w:p w14:paraId="35309D6C" w14:textId="77777777" w:rsidR="00BB18CD" w:rsidRPr="009951A2" w:rsidRDefault="00BB18CD" w:rsidP="00BB18CD">
            <w:pPr>
              <w:keepNext/>
              <w:jc w:val="center"/>
              <w:rPr>
                <w:sz w:val="20"/>
                <w:szCs w:val="20"/>
                <w:lang w:val="es-AR"/>
              </w:rPr>
            </w:pPr>
            <w:r w:rsidRPr="009951A2">
              <w:rPr>
                <w:sz w:val="20"/>
                <w:szCs w:val="20"/>
                <w:lang w:val="es-AR"/>
              </w:rPr>
              <w:t>Criterio 4</w:t>
            </w:r>
          </w:p>
        </w:tc>
        <w:tc>
          <w:tcPr>
            <w:tcW w:w="337" w:type="dxa"/>
            <w:tcBorders>
              <w:top w:val="single" w:sz="12" w:space="0" w:color="000000" w:themeColor="text1"/>
              <w:bottom w:val="single" w:sz="12" w:space="0" w:color="000000" w:themeColor="text1"/>
            </w:tcBorders>
            <w:shd w:val="clear" w:color="auto" w:fill="F2F2F2" w:themeFill="background1" w:themeFillShade="F2"/>
          </w:tcPr>
          <w:p w14:paraId="25141513" w14:textId="77777777" w:rsidR="00BB18CD" w:rsidRPr="009951A2" w:rsidRDefault="00BB18CD" w:rsidP="009951A2">
            <w:pPr>
              <w:keepNext/>
              <w:jc w:val="both"/>
              <w:rPr>
                <w:sz w:val="20"/>
                <w:szCs w:val="20"/>
                <w:lang w:val="es-AR"/>
              </w:rPr>
            </w:pPr>
          </w:p>
        </w:tc>
        <w:tc>
          <w:tcPr>
            <w:tcW w:w="984" w:type="dxa"/>
            <w:tcBorders>
              <w:top w:val="single" w:sz="12" w:space="0" w:color="000000" w:themeColor="text1"/>
              <w:bottom w:val="single" w:sz="12" w:space="0" w:color="000000" w:themeColor="text1"/>
            </w:tcBorders>
            <w:shd w:val="clear" w:color="auto" w:fill="F2F2F2" w:themeFill="background1" w:themeFillShade="F2"/>
          </w:tcPr>
          <w:p w14:paraId="0E792F68" w14:textId="77777777" w:rsidR="00BB18CD" w:rsidRPr="009951A2" w:rsidRDefault="00BB18CD" w:rsidP="009951A2">
            <w:pPr>
              <w:keepNext/>
              <w:jc w:val="both"/>
              <w:rPr>
                <w:sz w:val="20"/>
                <w:szCs w:val="20"/>
                <w:lang w:val="es-AR"/>
              </w:rPr>
            </w:pPr>
            <w:r w:rsidRPr="009951A2">
              <w:rPr>
                <w:sz w:val="20"/>
                <w:szCs w:val="20"/>
                <w:lang w:val="es-AR"/>
              </w:rPr>
              <w:t>Segmento</w:t>
            </w:r>
          </w:p>
        </w:tc>
      </w:tr>
      <w:tr w:rsidR="00BB18CD" w:rsidRPr="009951A2" w14:paraId="0BED94F0" w14:textId="77777777" w:rsidTr="00BB18CD">
        <w:tc>
          <w:tcPr>
            <w:tcW w:w="1221" w:type="dxa"/>
            <w:vMerge w:val="restart"/>
            <w:tcBorders>
              <w:top w:val="single" w:sz="12" w:space="0" w:color="000000" w:themeColor="text1"/>
              <w:left w:val="single" w:sz="4" w:space="0" w:color="000000" w:themeColor="text1"/>
            </w:tcBorders>
            <w:vAlign w:val="center"/>
          </w:tcPr>
          <w:p w14:paraId="0B45F616" w14:textId="77777777" w:rsidR="00BB18CD" w:rsidRPr="009951A2" w:rsidRDefault="00BB18CD" w:rsidP="00BB18CD">
            <w:pPr>
              <w:keepNext/>
              <w:jc w:val="center"/>
              <w:rPr>
                <w:sz w:val="20"/>
                <w:szCs w:val="20"/>
                <w:lang w:val="es-AR"/>
              </w:rPr>
            </w:pPr>
            <w:r w:rsidRPr="009951A2">
              <w:rPr>
                <w:sz w:val="20"/>
                <w:szCs w:val="20"/>
                <w:lang w:val="es-AR"/>
              </w:rPr>
              <w:t xml:space="preserve">Calidad de construcción de la </w:t>
            </w:r>
            <w:proofErr w:type="gramStart"/>
            <w:r w:rsidRPr="009951A2">
              <w:rPr>
                <w:sz w:val="20"/>
                <w:szCs w:val="20"/>
                <w:lang w:val="es-AR"/>
              </w:rPr>
              <w:t>vivienda  (</w:t>
            </w:r>
            <w:proofErr w:type="gramEnd"/>
            <w:r w:rsidRPr="009951A2">
              <w:rPr>
                <w:sz w:val="20"/>
                <w:szCs w:val="20"/>
                <w:lang w:val="es-AR"/>
              </w:rPr>
              <w:t>INCALCONS)</w:t>
            </w:r>
          </w:p>
        </w:tc>
        <w:tc>
          <w:tcPr>
            <w:tcW w:w="921" w:type="dxa"/>
            <w:vMerge w:val="restart"/>
            <w:tcBorders>
              <w:top w:val="single" w:sz="12" w:space="0" w:color="000000" w:themeColor="text1"/>
            </w:tcBorders>
            <w:vAlign w:val="center"/>
          </w:tcPr>
          <w:p w14:paraId="15FE5BF9" w14:textId="77777777" w:rsidR="00BB18CD" w:rsidRPr="009951A2" w:rsidRDefault="00BB18CD" w:rsidP="00BB18CD">
            <w:pPr>
              <w:keepNext/>
              <w:jc w:val="center"/>
              <w:rPr>
                <w:sz w:val="20"/>
                <w:szCs w:val="20"/>
                <w:lang w:val="es-AR"/>
              </w:rPr>
            </w:pPr>
            <w:r w:rsidRPr="009951A2">
              <w:rPr>
                <w:sz w:val="20"/>
                <w:szCs w:val="20"/>
                <w:lang w:val="es-AR"/>
              </w:rPr>
              <w:t xml:space="preserve">&lt;= 60% de los hogares con valores </w:t>
            </w:r>
            <w:r w:rsidR="001F17B6">
              <w:rPr>
                <w:sz w:val="20"/>
                <w:szCs w:val="20"/>
                <w:lang w:val="es-AR"/>
              </w:rPr>
              <w:t>‘Básica’ o ‘Insuficiente’</w:t>
            </w:r>
            <w:r w:rsidRPr="009951A2">
              <w:rPr>
                <w:sz w:val="20"/>
                <w:szCs w:val="20"/>
                <w:lang w:val="es-AR"/>
              </w:rPr>
              <w:t>.</w:t>
            </w:r>
          </w:p>
          <w:p w14:paraId="5A1B18DA" w14:textId="77777777" w:rsidR="00BB18CD" w:rsidRPr="009951A2" w:rsidRDefault="00BB18CD" w:rsidP="00BB18CD">
            <w:pPr>
              <w:keepNext/>
              <w:jc w:val="center"/>
              <w:rPr>
                <w:sz w:val="20"/>
                <w:szCs w:val="20"/>
                <w:lang w:val="es-AR"/>
              </w:rPr>
            </w:pPr>
          </w:p>
        </w:tc>
        <w:tc>
          <w:tcPr>
            <w:tcW w:w="1175" w:type="dxa"/>
            <w:vMerge w:val="restart"/>
            <w:tcBorders>
              <w:top w:val="single" w:sz="12" w:space="0" w:color="000000" w:themeColor="text1"/>
            </w:tcBorders>
            <w:vAlign w:val="center"/>
          </w:tcPr>
          <w:p w14:paraId="5C954247" w14:textId="77777777" w:rsidR="00BB18CD" w:rsidRPr="009951A2" w:rsidRDefault="00BB18CD" w:rsidP="009951A2">
            <w:pPr>
              <w:keepNext/>
              <w:jc w:val="center"/>
              <w:rPr>
                <w:sz w:val="20"/>
                <w:szCs w:val="20"/>
                <w:lang w:val="es-AR"/>
              </w:rPr>
            </w:pPr>
            <w:r w:rsidRPr="009951A2">
              <w:rPr>
                <w:sz w:val="20"/>
                <w:szCs w:val="20"/>
                <w:lang w:val="es-AR"/>
              </w:rPr>
              <w:t>Jefes de nivel universitario y personal con cama</w:t>
            </w:r>
          </w:p>
        </w:tc>
        <w:tc>
          <w:tcPr>
            <w:tcW w:w="545" w:type="dxa"/>
            <w:tcBorders>
              <w:top w:val="single" w:sz="12" w:space="0" w:color="000000" w:themeColor="text1"/>
            </w:tcBorders>
            <w:vAlign w:val="center"/>
          </w:tcPr>
          <w:p w14:paraId="651C8AE3" w14:textId="77777777" w:rsidR="00BB18CD" w:rsidRPr="009951A2" w:rsidRDefault="00BB18CD" w:rsidP="009951A2">
            <w:pPr>
              <w:keepNext/>
              <w:jc w:val="center"/>
              <w:rPr>
                <w:sz w:val="20"/>
                <w:szCs w:val="20"/>
                <w:lang w:val="es-AR"/>
              </w:rPr>
            </w:pPr>
            <w:r w:rsidRPr="009951A2">
              <w:rPr>
                <w:sz w:val="20"/>
                <w:szCs w:val="20"/>
                <w:lang w:val="es-AR"/>
              </w:rPr>
              <w:t>&gt; 40%</w:t>
            </w:r>
          </w:p>
          <w:p w14:paraId="1309124A" w14:textId="77777777" w:rsidR="00BB18CD" w:rsidRPr="009951A2" w:rsidRDefault="00BB18CD" w:rsidP="009951A2">
            <w:pPr>
              <w:keepNext/>
              <w:jc w:val="center"/>
              <w:rPr>
                <w:sz w:val="20"/>
                <w:szCs w:val="20"/>
                <w:lang w:val="es-AR"/>
              </w:rPr>
            </w:pPr>
            <w:r w:rsidRPr="009951A2">
              <w:rPr>
                <w:sz w:val="20"/>
                <w:szCs w:val="20"/>
                <w:lang w:val="es-AR"/>
              </w:rPr>
              <w:t>y</w:t>
            </w:r>
          </w:p>
          <w:p w14:paraId="5E0F62F8" w14:textId="77777777" w:rsidR="00BB18CD" w:rsidRPr="009951A2" w:rsidRDefault="00BB18CD" w:rsidP="009951A2">
            <w:pPr>
              <w:keepNext/>
              <w:jc w:val="center"/>
              <w:rPr>
                <w:sz w:val="20"/>
                <w:szCs w:val="20"/>
                <w:lang w:val="es-AR"/>
              </w:rPr>
            </w:pPr>
            <w:r w:rsidRPr="009951A2">
              <w:rPr>
                <w:sz w:val="20"/>
                <w:szCs w:val="20"/>
                <w:lang w:val="es-AR"/>
              </w:rPr>
              <w:t>&gt; 3%</w:t>
            </w:r>
          </w:p>
        </w:tc>
        <w:tc>
          <w:tcPr>
            <w:tcW w:w="2079" w:type="dxa"/>
            <w:gridSpan w:val="2"/>
            <w:tcBorders>
              <w:top w:val="single" w:sz="12" w:space="0" w:color="000000" w:themeColor="text1"/>
              <w:right w:val="nil"/>
            </w:tcBorders>
            <w:vAlign w:val="center"/>
          </w:tcPr>
          <w:p w14:paraId="0F54A5E1"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2212" w:type="dxa"/>
            <w:gridSpan w:val="2"/>
            <w:tcBorders>
              <w:top w:val="single" w:sz="12" w:space="0" w:color="000000" w:themeColor="text1"/>
              <w:left w:val="nil"/>
            </w:tcBorders>
            <w:vAlign w:val="center"/>
          </w:tcPr>
          <w:p w14:paraId="3D6C5DCA"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337" w:type="dxa"/>
            <w:tcBorders>
              <w:top w:val="single" w:sz="12" w:space="0" w:color="000000" w:themeColor="text1"/>
            </w:tcBorders>
            <w:vAlign w:val="center"/>
          </w:tcPr>
          <w:p w14:paraId="0156D8F1"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tcBorders>
              <w:top w:val="single" w:sz="12" w:space="0" w:color="000000" w:themeColor="text1"/>
            </w:tcBorders>
            <w:vAlign w:val="center"/>
          </w:tcPr>
          <w:p w14:paraId="7BCD3EC2" w14:textId="77777777" w:rsidR="00BB18CD" w:rsidRPr="009951A2" w:rsidRDefault="00BB18CD" w:rsidP="009951A2">
            <w:pPr>
              <w:keepNext/>
              <w:jc w:val="center"/>
              <w:rPr>
                <w:sz w:val="20"/>
                <w:szCs w:val="20"/>
                <w:lang w:val="es-AR"/>
              </w:rPr>
            </w:pPr>
            <w:r w:rsidRPr="009951A2">
              <w:rPr>
                <w:sz w:val="20"/>
                <w:szCs w:val="20"/>
                <w:lang w:val="es-AR"/>
              </w:rPr>
              <w:t>Clase alta</w:t>
            </w:r>
          </w:p>
        </w:tc>
      </w:tr>
      <w:tr w:rsidR="00BB18CD" w:rsidRPr="009951A2" w14:paraId="439DC574" w14:textId="77777777" w:rsidTr="00BB18CD">
        <w:tc>
          <w:tcPr>
            <w:tcW w:w="1221" w:type="dxa"/>
            <w:vMerge/>
            <w:tcBorders>
              <w:left w:val="single" w:sz="4" w:space="0" w:color="000000" w:themeColor="text1"/>
            </w:tcBorders>
          </w:tcPr>
          <w:p w14:paraId="34776EF7" w14:textId="77777777" w:rsidR="00BB18CD" w:rsidRPr="009951A2" w:rsidRDefault="00BB18CD" w:rsidP="009951A2">
            <w:pPr>
              <w:keepNext/>
              <w:jc w:val="both"/>
              <w:rPr>
                <w:sz w:val="20"/>
                <w:szCs w:val="20"/>
                <w:lang w:val="es-AR"/>
              </w:rPr>
            </w:pPr>
          </w:p>
        </w:tc>
        <w:tc>
          <w:tcPr>
            <w:tcW w:w="921" w:type="dxa"/>
            <w:vMerge/>
          </w:tcPr>
          <w:p w14:paraId="64E8C0E9" w14:textId="77777777" w:rsidR="00BB18CD" w:rsidRPr="009951A2" w:rsidRDefault="00BB18CD" w:rsidP="009951A2">
            <w:pPr>
              <w:keepNext/>
              <w:jc w:val="both"/>
              <w:rPr>
                <w:sz w:val="20"/>
                <w:szCs w:val="20"/>
                <w:lang w:val="es-AR"/>
              </w:rPr>
            </w:pPr>
          </w:p>
        </w:tc>
        <w:tc>
          <w:tcPr>
            <w:tcW w:w="1175" w:type="dxa"/>
            <w:vMerge/>
            <w:vAlign w:val="center"/>
          </w:tcPr>
          <w:p w14:paraId="503D99EA" w14:textId="77777777" w:rsidR="00BB18CD" w:rsidRPr="009951A2" w:rsidRDefault="00BB18CD" w:rsidP="009951A2">
            <w:pPr>
              <w:keepNext/>
              <w:jc w:val="center"/>
              <w:rPr>
                <w:sz w:val="20"/>
                <w:szCs w:val="20"/>
                <w:lang w:val="es-AR"/>
              </w:rPr>
            </w:pPr>
          </w:p>
        </w:tc>
        <w:tc>
          <w:tcPr>
            <w:tcW w:w="545" w:type="dxa"/>
            <w:vMerge w:val="restart"/>
            <w:vAlign w:val="center"/>
          </w:tcPr>
          <w:p w14:paraId="664675BB" w14:textId="77777777" w:rsidR="00BB18CD" w:rsidRPr="009951A2" w:rsidRDefault="00BB18CD" w:rsidP="009951A2">
            <w:pPr>
              <w:keepNext/>
              <w:jc w:val="center"/>
              <w:rPr>
                <w:sz w:val="20"/>
                <w:szCs w:val="20"/>
                <w:lang w:val="es-AR"/>
              </w:rPr>
            </w:pPr>
            <w:r w:rsidRPr="009951A2">
              <w:rPr>
                <w:sz w:val="20"/>
                <w:szCs w:val="20"/>
                <w:lang w:val="es-AR"/>
              </w:rPr>
              <w:t>&lt;= 40%</w:t>
            </w:r>
          </w:p>
          <w:p w14:paraId="381F6AF7" w14:textId="77777777" w:rsidR="00BB18CD" w:rsidRPr="009951A2" w:rsidRDefault="00BB18CD" w:rsidP="009951A2">
            <w:pPr>
              <w:keepNext/>
              <w:jc w:val="center"/>
              <w:rPr>
                <w:sz w:val="20"/>
                <w:szCs w:val="20"/>
                <w:lang w:val="es-AR"/>
              </w:rPr>
            </w:pPr>
            <w:r w:rsidRPr="009951A2">
              <w:rPr>
                <w:sz w:val="20"/>
                <w:szCs w:val="20"/>
                <w:lang w:val="es-AR"/>
              </w:rPr>
              <w:t>o</w:t>
            </w:r>
          </w:p>
          <w:p w14:paraId="28574C04" w14:textId="77777777" w:rsidR="00BB18CD" w:rsidRPr="009951A2" w:rsidRDefault="00BB18CD" w:rsidP="009951A2">
            <w:pPr>
              <w:keepNext/>
              <w:jc w:val="center"/>
              <w:rPr>
                <w:sz w:val="20"/>
                <w:szCs w:val="20"/>
                <w:lang w:val="es-AR"/>
              </w:rPr>
            </w:pPr>
            <w:r w:rsidRPr="009951A2">
              <w:rPr>
                <w:sz w:val="20"/>
                <w:szCs w:val="20"/>
                <w:lang w:val="es-AR"/>
              </w:rPr>
              <w:t>&lt;= 3%</w:t>
            </w:r>
          </w:p>
        </w:tc>
        <w:tc>
          <w:tcPr>
            <w:tcW w:w="873" w:type="dxa"/>
            <w:vMerge w:val="restart"/>
            <w:vAlign w:val="center"/>
          </w:tcPr>
          <w:p w14:paraId="380BF777" w14:textId="77777777" w:rsidR="00BB18CD" w:rsidRPr="009951A2" w:rsidRDefault="00BB18CD" w:rsidP="009951A2">
            <w:pPr>
              <w:keepNext/>
              <w:jc w:val="center"/>
              <w:rPr>
                <w:sz w:val="20"/>
                <w:szCs w:val="20"/>
                <w:lang w:val="es-AR"/>
              </w:rPr>
            </w:pPr>
            <w:r w:rsidRPr="009951A2">
              <w:rPr>
                <w:sz w:val="20"/>
                <w:szCs w:val="20"/>
                <w:lang w:val="es-AR"/>
              </w:rPr>
              <w:t>Calidad de vivienda y uso de PC</w:t>
            </w:r>
          </w:p>
        </w:tc>
        <w:tc>
          <w:tcPr>
            <w:tcW w:w="1206" w:type="dxa"/>
            <w:vMerge w:val="restart"/>
            <w:vAlign w:val="center"/>
          </w:tcPr>
          <w:p w14:paraId="3E216B0B" w14:textId="77777777" w:rsidR="00BB18CD" w:rsidRPr="009951A2" w:rsidRDefault="00BB18CD" w:rsidP="009951A2">
            <w:pPr>
              <w:keepNext/>
              <w:jc w:val="center"/>
              <w:rPr>
                <w:sz w:val="20"/>
                <w:szCs w:val="20"/>
                <w:lang w:val="es-AR"/>
              </w:rPr>
            </w:pPr>
            <w:r w:rsidRPr="009951A2">
              <w:rPr>
                <w:sz w:val="20"/>
                <w:szCs w:val="20"/>
                <w:lang w:val="es-AR"/>
              </w:rPr>
              <w:t>Piso precario &lt; 10% y 18 a 29 utilizan computadora &gt; 75%</w:t>
            </w:r>
          </w:p>
        </w:tc>
        <w:tc>
          <w:tcPr>
            <w:tcW w:w="999" w:type="dxa"/>
            <w:vMerge w:val="restart"/>
            <w:vAlign w:val="center"/>
          </w:tcPr>
          <w:p w14:paraId="23146488" w14:textId="77777777" w:rsidR="00BB18CD" w:rsidRPr="009951A2" w:rsidRDefault="00BB18CD" w:rsidP="009951A2">
            <w:pPr>
              <w:keepNext/>
              <w:jc w:val="center"/>
              <w:rPr>
                <w:sz w:val="20"/>
                <w:szCs w:val="20"/>
                <w:lang w:val="es-AR"/>
              </w:rPr>
            </w:pPr>
            <w:r w:rsidRPr="009951A2">
              <w:rPr>
                <w:sz w:val="20"/>
                <w:szCs w:val="20"/>
                <w:lang w:val="es-AR"/>
              </w:rPr>
              <w:t>Servicios y educación secundaria del jefe</w:t>
            </w:r>
          </w:p>
        </w:tc>
        <w:tc>
          <w:tcPr>
            <w:tcW w:w="1213" w:type="dxa"/>
            <w:vAlign w:val="center"/>
          </w:tcPr>
          <w:p w14:paraId="60617F95" w14:textId="77777777" w:rsidR="00BB18CD" w:rsidRPr="009951A2" w:rsidRDefault="00BB18CD" w:rsidP="00BB18CD">
            <w:pPr>
              <w:rPr>
                <w:sz w:val="20"/>
                <w:szCs w:val="20"/>
                <w:lang w:val="es-AR"/>
              </w:rPr>
            </w:pPr>
            <w:proofErr w:type="spellStart"/>
            <w:r w:rsidRPr="009951A2">
              <w:rPr>
                <w:sz w:val="20"/>
                <w:szCs w:val="20"/>
                <w:lang w:val="es-AR"/>
              </w:rPr>
              <w:t>Desague</w:t>
            </w:r>
            <w:proofErr w:type="spellEnd"/>
            <w:r w:rsidRPr="009951A2">
              <w:rPr>
                <w:sz w:val="20"/>
                <w:szCs w:val="20"/>
                <w:lang w:val="es-AR"/>
              </w:rPr>
              <w:t xml:space="preserve"> a hoyo o pozo &lt; 10% y % jefe con secundaria &gt; 60%</w:t>
            </w:r>
          </w:p>
        </w:tc>
        <w:tc>
          <w:tcPr>
            <w:tcW w:w="337" w:type="dxa"/>
            <w:vAlign w:val="center"/>
          </w:tcPr>
          <w:p w14:paraId="17687097"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vAlign w:val="center"/>
          </w:tcPr>
          <w:p w14:paraId="1CB41531" w14:textId="77777777" w:rsidR="00BB18CD" w:rsidRPr="009951A2" w:rsidRDefault="00BB18CD" w:rsidP="009951A2">
            <w:pPr>
              <w:keepNext/>
              <w:jc w:val="center"/>
              <w:rPr>
                <w:sz w:val="20"/>
                <w:szCs w:val="20"/>
                <w:lang w:val="es-AR"/>
              </w:rPr>
            </w:pPr>
            <w:r w:rsidRPr="009951A2">
              <w:rPr>
                <w:sz w:val="20"/>
                <w:szCs w:val="20"/>
                <w:lang w:val="es-AR"/>
              </w:rPr>
              <w:t>Clase media alta</w:t>
            </w:r>
          </w:p>
        </w:tc>
      </w:tr>
      <w:tr w:rsidR="00BB18CD" w:rsidRPr="009951A2" w14:paraId="4037E45B" w14:textId="77777777" w:rsidTr="00BB18CD">
        <w:tc>
          <w:tcPr>
            <w:tcW w:w="1221" w:type="dxa"/>
            <w:vMerge/>
            <w:tcBorders>
              <w:left w:val="single" w:sz="4" w:space="0" w:color="000000" w:themeColor="text1"/>
            </w:tcBorders>
          </w:tcPr>
          <w:p w14:paraId="16ACC604" w14:textId="77777777" w:rsidR="00BB18CD" w:rsidRPr="009951A2" w:rsidRDefault="00BB18CD" w:rsidP="009951A2">
            <w:pPr>
              <w:keepNext/>
              <w:jc w:val="both"/>
              <w:rPr>
                <w:sz w:val="20"/>
                <w:szCs w:val="20"/>
                <w:lang w:val="es-AR"/>
              </w:rPr>
            </w:pPr>
          </w:p>
        </w:tc>
        <w:tc>
          <w:tcPr>
            <w:tcW w:w="921" w:type="dxa"/>
            <w:vMerge/>
          </w:tcPr>
          <w:p w14:paraId="7D3536E1" w14:textId="77777777" w:rsidR="00BB18CD" w:rsidRPr="009951A2" w:rsidRDefault="00BB18CD" w:rsidP="009951A2">
            <w:pPr>
              <w:keepNext/>
              <w:jc w:val="both"/>
              <w:rPr>
                <w:sz w:val="20"/>
                <w:szCs w:val="20"/>
                <w:lang w:val="es-AR"/>
              </w:rPr>
            </w:pPr>
          </w:p>
        </w:tc>
        <w:tc>
          <w:tcPr>
            <w:tcW w:w="1175" w:type="dxa"/>
            <w:vMerge/>
            <w:vAlign w:val="center"/>
          </w:tcPr>
          <w:p w14:paraId="7D87551D" w14:textId="77777777" w:rsidR="00BB18CD" w:rsidRPr="009951A2" w:rsidRDefault="00BB18CD" w:rsidP="009951A2">
            <w:pPr>
              <w:keepNext/>
              <w:jc w:val="center"/>
              <w:rPr>
                <w:sz w:val="20"/>
                <w:szCs w:val="20"/>
                <w:lang w:val="es-AR"/>
              </w:rPr>
            </w:pPr>
          </w:p>
        </w:tc>
        <w:tc>
          <w:tcPr>
            <w:tcW w:w="545" w:type="dxa"/>
            <w:vMerge/>
            <w:vAlign w:val="center"/>
          </w:tcPr>
          <w:p w14:paraId="4BD931A5" w14:textId="77777777" w:rsidR="00BB18CD" w:rsidRPr="009951A2" w:rsidRDefault="00BB18CD" w:rsidP="009951A2">
            <w:pPr>
              <w:keepNext/>
              <w:jc w:val="center"/>
              <w:rPr>
                <w:sz w:val="20"/>
                <w:szCs w:val="20"/>
                <w:lang w:val="es-AR"/>
              </w:rPr>
            </w:pPr>
          </w:p>
        </w:tc>
        <w:tc>
          <w:tcPr>
            <w:tcW w:w="873" w:type="dxa"/>
            <w:vMerge/>
            <w:vAlign w:val="center"/>
          </w:tcPr>
          <w:p w14:paraId="6652675F" w14:textId="77777777" w:rsidR="00BB18CD" w:rsidRPr="009951A2" w:rsidRDefault="00BB18CD" w:rsidP="009951A2">
            <w:pPr>
              <w:keepNext/>
              <w:jc w:val="center"/>
              <w:rPr>
                <w:sz w:val="20"/>
                <w:szCs w:val="20"/>
                <w:lang w:val="es-AR"/>
              </w:rPr>
            </w:pPr>
          </w:p>
        </w:tc>
        <w:tc>
          <w:tcPr>
            <w:tcW w:w="1206" w:type="dxa"/>
            <w:vMerge/>
            <w:vAlign w:val="center"/>
          </w:tcPr>
          <w:p w14:paraId="02549EF4" w14:textId="77777777" w:rsidR="00BB18CD" w:rsidRPr="009951A2" w:rsidRDefault="00BB18CD" w:rsidP="009951A2">
            <w:pPr>
              <w:keepNext/>
              <w:jc w:val="center"/>
              <w:rPr>
                <w:sz w:val="20"/>
                <w:szCs w:val="20"/>
                <w:lang w:val="es-AR"/>
              </w:rPr>
            </w:pPr>
          </w:p>
        </w:tc>
        <w:tc>
          <w:tcPr>
            <w:tcW w:w="999" w:type="dxa"/>
            <w:vMerge/>
            <w:vAlign w:val="center"/>
          </w:tcPr>
          <w:p w14:paraId="0362984A" w14:textId="77777777" w:rsidR="00BB18CD" w:rsidRPr="009951A2" w:rsidRDefault="00BB18CD" w:rsidP="009951A2">
            <w:pPr>
              <w:keepNext/>
              <w:jc w:val="center"/>
              <w:rPr>
                <w:sz w:val="20"/>
                <w:szCs w:val="20"/>
                <w:lang w:val="es-AR"/>
              </w:rPr>
            </w:pPr>
          </w:p>
        </w:tc>
        <w:tc>
          <w:tcPr>
            <w:tcW w:w="1213" w:type="dxa"/>
            <w:vAlign w:val="center"/>
          </w:tcPr>
          <w:p w14:paraId="7878F159" w14:textId="77777777" w:rsidR="00BB18CD" w:rsidRPr="009951A2" w:rsidRDefault="00BB18CD" w:rsidP="00BB18CD">
            <w:pPr>
              <w:rPr>
                <w:sz w:val="20"/>
                <w:szCs w:val="20"/>
                <w:lang w:val="es-AR"/>
              </w:rPr>
            </w:pPr>
            <w:proofErr w:type="spellStart"/>
            <w:r w:rsidRPr="009951A2">
              <w:rPr>
                <w:sz w:val="20"/>
                <w:szCs w:val="20"/>
                <w:lang w:val="es-AR"/>
              </w:rPr>
              <w:t>Desague</w:t>
            </w:r>
            <w:proofErr w:type="spellEnd"/>
            <w:r w:rsidRPr="009951A2">
              <w:rPr>
                <w:sz w:val="20"/>
                <w:szCs w:val="20"/>
                <w:lang w:val="es-AR"/>
              </w:rPr>
              <w:t xml:space="preserve"> a hoyo o pozo &gt;= 10% o % jefe con secundaria &lt;= 60%</w:t>
            </w:r>
          </w:p>
        </w:tc>
        <w:tc>
          <w:tcPr>
            <w:tcW w:w="337" w:type="dxa"/>
            <w:vAlign w:val="center"/>
          </w:tcPr>
          <w:p w14:paraId="52CFE972"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vAlign w:val="center"/>
          </w:tcPr>
          <w:p w14:paraId="0D3B8A5E" w14:textId="77777777" w:rsidR="00BB18CD" w:rsidRPr="009951A2" w:rsidRDefault="00BB18CD" w:rsidP="009951A2">
            <w:pPr>
              <w:keepNext/>
              <w:jc w:val="center"/>
              <w:rPr>
                <w:sz w:val="20"/>
                <w:szCs w:val="20"/>
                <w:lang w:val="es-AR"/>
              </w:rPr>
            </w:pPr>
            <w:r w:rsidRPr="009951A2">
              <w:rPr>
                <w:sz w:val="20"/>
                <w:szCs w:val="20"/>
                <w:lang w:val="es-AR"/>
              </w:rPr>
              <w:t>Clase media</w:t>
            </w:r>
          </w:p>
        </w:tc>
      </w:tr>
      <w:tr w:rsidR="00BB18CD" w:rsidRPr="009951A2" w14:paraId="549EB1B3" w14:textId="77777777" w:rsidTr="00BB18CD">
        <w:tc>
          <w:tcPr>
            <w:tcW w:w="1221" w:type="dxa"/>
            <w:vMerge/>
            <w:tcBorders>
              <w:left w:val="single" w:sz="4" w:space="0" w:color="000000" w:themeColor="text1"/>
            </w:tcBorders>
          </w:tcPr>
          <w:p w14:paraId="3B405758" w14:textId="77777777" w:rsidR="00BB18CD" w:rsidRPr="009951A2" w:rsidRDefault="00BB18CD" w:rsidP="009951A2">
            <w:pPr>
              <w:keepNext/>
              <w:jc w:val="both"/>
              <w:rPr>
                <w:sz w:val="20"/>
                <w:szCs w:val="20"/>
                <w:lang w:val="es-AR"/>
              </w:rPr>
            </w:pPr>
          </w:p>
        </w:tc>
        <w:tc>
          <w:tcPr>
            <w:tcW w:w="921" w:type="dxa"/>
            <w:vMerge/>
          </w:tcPr>
          <w:p w14:paraId="2E638E1B" w14:textId="77777777" w:rsidR="00BB18CD" w:rsidRPr="009951A2" w:rsidRDefault="00BB18CD" w:rsidP="009951A2">
            <w:pPr>
              <w:keepNext/>
              <w:jc w:val="both"/>
              <w:rPr>
                <w:sz w:val="20"/>
                <w:szCs w:val="20"/>
                <w:lang w:val="es-AR"/>
              </w:rPr>
            </w:pPr>
          </w:p>
        </w:tc>
        <w:tc>
          <w:tcPr>
            <w:tcW w:w="1175" w:type="dxa"/>
            <w:vMerge/>
            <w:vAlign w:val="center"/>
          </w:tcPr>
          <w:p w14:paraId="3C4F720F" w14:textId="77777777" w:rsidR="00BB18CD" w:rsidRPr="009951A2" w:rsidRDefault="00BB18CD" w:rsidP="009951A2">
            <w:pPr>
              <w:keepNext/>
              <w:jc w:val="center"/>
              <w:rPr>
                <w:sz w:val="20"/>
                <w:szCs w:val="20"/>
                <w:lang w:val="es-AR"/>
              </w:rPr>
            </w:pPr>
          </w:p>
        </w:tc>
        <w:tc>
          <w:tcPr>
            <w:tcW w:w="545" w:type="dxa"/>
            <w:vMerge/>
            <w:vAlign w:val="center"/>
          </w:tcPr>
          <w:p w14:paraId="4ED77188" w14:textId="77777777" w:rsidR="00BB18CD" w:rsidRPr="009951A2" w:rsidRDefault="00BB18CD" w:rsidP="009951A2">
            <w:pPr>
              <w:keepNext/>
              <w:jc w:val="center"/>
              <w:rPr>
                <w:sz w:val="20"/>
                <w:szCs w:val="20"/>
                <w:lang w:val="es-AR"/>
              </w:rPr>
            </w:pPr>
          </w:p>
        </w:tc>
        <w:tc>
          <w:tcPr>
            <w:tcW w:w="873" w:type="dxa"/>
            <w:vMerge/>
            <w:vAlign w:val="center"/>
          </w:tcPr>
          <w:p w14:paraId="3A2B3E35" w14:textId="77777777" w:rsidR="00BB18CD" w:rsidRPr="009951A2" w:rsidRDefault="00BB18CD" w:rsidP="009951A2">
            <w:pPr>
              <w:keepNext/>
              <w:jc w:val="center"/>
              <w:rPr>
                <w:sz w:val="20"/>
                <w:szCs w:val="20"/>
                <w:lang w:val="es-AR"/>
              </w:rPr>
            </w:pPr>
          </w:p>
        </w:tc>
        <w:tc>
          <w:tcPr>
            <w:tcW w:w="1206" w:type="dxa"/>
            <w:vMerge w:val="restart"/>
            <w:vAlign w:val="center"/>
          </w:tcPr>
          <w:p w14:paraId="27FE3BE4" w14:textId="77777777" w:rsidR="00BB18CD" w:rsidRPr="009951A2" w:rsidRDefault="00BB18CD" w:rsidP="009951A2">
            <w:pPr>
              <w:keepNext/>
              <w:jc w:val="center"/>
              <w:rPr>
                <w:sz w:val="20"/>
                <w:szCs w:val="20"/>
                <w:lang w:val="es-AR"/>
              </w:rPr>
            </w:pPr>
            <w:r w:rsidRPr="009951A2">
              <w:rPr>
                <w:sz w:val="20"/>
                <w:szCs w:val="20"/>
                <w:lang w:val="es-AR"/>
              </w:rPr>
              <w:t>Piso precario &gt;= 10% o 18 a 29 utilizan computadora &lt;= 75%</w:t>
            </w:r>
          </w:p>
        </w:tc>
        <w:tc>
          <w:tcPr>
            <w:tcW w:w="999" w:type="dxa"/>
            <w:vMerge w:val="restart"/>
            <w:vAlign w:val="center"/>
          </w:tcPr>
          <w:p w14:paraId="5F4C5BFD" w14:textId="77777777" w:rsidR="00BB18CD" w:rsidRPr="009951A2" w:rsidRDefault="00BB18CD" w:rsidP="00BB18CD">
            <w:pPr>
              <w:keepNext/>
              <w:jc w:val="center"/>
              <w:rPr>
                <w:sz w:val="20"/>
                <w:szCs w:val="20"/>
                <w:lang w:val="es-AR"/>
              </w:rPr>
            </w:pPr>
            <w:r w:rsidRPr="009951A2">
              <w:rPr>
                <w:sz w:val="20"/>
                <w:szCs w:val="20"/>
                <w:lang w:val="es-AR"/>
              </w:rPr>
              <w:t>Calidad de vivienda y uso de PC</w:t>
            </w:r>
          </w:p>
        </w:tc>
        <w:tc>
          <w:tcPr>
            <w:tcW w:w="1213" w:type="dxa"/>
            <w:vAlign w:val="center"/>
          </w:tcPr>
          <w:p w14:paraId="0F71E1AA" w14:textId="77777777" w:rsidR="00BB18CD" w:rsidRPr="009951A2" w:rsidRDefault="00BB18CD" w:rsidP="00BB18CD">
            <w:pPr>
              <w:keepNext/>
              <w:jc w:val="center"/>
              <w:rPr>
                <w:sz w:val="20"/>
                <w:szCs w:val="20"/>
                <w:lang w:val="es-AR"/>
              </w:rPr>
            </w:pPr>
            <w:r>
              <w:rPr>
                <w:sz w:val="20"/>
                <w:szCs w:val="20"/>
                <w:lang w:val="es-AR"/>
              </w:rPr>
              <w:t>P</w:t>
            </w:r>
            <w:r w:rsidRPr="00BB18CD">
              <w:rPr>
                <w:sz w:val="20"/>
                <w:szCs w:val="20"/>
                <w:lang w:val="es-AR"/>
              </w:rPr>
              <w:t xml:space="preserve">iso precario </w:t>
            </w:r>
            <w:r>
              <w:rPr>
                <w:sz w:val="20"/>
                <w:szCs w:val="20"/>
                <w:lang w:val="es-AR"/>
              </w:rPr>
              <w:t>&lt;=</w:t>
            </w:r>
            <w:r w:rsidRPr="00BB18CD">
              <w:rPr>
                <w:sz w:val="20"/>
                <w:szCs w:val="20"/>
                <w:lang w:val="es-AR"/>
              </w:rPr>
              <w:t xml:space="preserve"> </w:t>
            </w:r>
            <w:r>
              <w:rPr>
                <w:sz w:val="20"/>
                <w:szCs w:val="20"/>
                <w:lang w:val="es-AR"/>
              </w:rPr>
              <w:t>9</w:t>
            </w:r>
            <w:r w:rsidRPr="00BB18CD">
              <w:rPr>
                <w:sz w:val="20"/>
                <w:szCs w:val="20"/>
                <w:lang w:val="es-AR"/>
              </w:rPr>
              <w:t xml:space="preserve">0% </w:t>
            </w:r>
            <w:proofErr w:type="gramStart"/>
            <w:r w:rsidRPr="00BB18CD">
              <w:rPr>
                <w:sz w:val="20"/>
                <w:szCs w:val="20"/>
                <w:lang w:val="es-AR"/>
              </w:rPr>
              <w:t>y  18</w:t>
            </w:r>
            <w:proofErr w:type="gramEnd"/>
            <w:r w:rsidRPr="00BB18CD">
              <w:rPr>
                <w:sz w:val="20"/>
                <w:szCs w:val="20"/>
                <w:lang w:val="es-AR"/>
              </w:rPr>
              <w:t xml:space="preserve"> a 29 utilizan computadora &gt; 75%</w:t>
            </w:r>
          </w:p>
        </w:tc>
        <w:tc>
          <w:tcPr>
            <w:tcW w:w="337" w:type="dxa"/>
            <w:vAlign w:val="center"/>
          </w:tcPr>
          <w:p w14:paraId="1EEAE7B0"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vAlign w:val="center"/>
          </w:tcPr>
          <w:p w14:paraId="34C715DE" w14:textId="77777777" w:rsidR="00BB18CD" w:rsidRPr="009951A2" w:rsidRDefault="00BB18CD" w:rsidP="009951A2">
            <w:pPr>
              <w:keepNext/>
              <w:jc w:val="center"/>
              <w:rPr>
                <w:sz w:val="20"/>
                <w:szCs w:val="20"/>
                <w:lang w:val="es-AR"/>
              </w:rPr>
            </w:pPr>
            <w:r w:rsidRPr="009951A2">
              <w:rPr>
                <w:sz w:val="20"/>
                <w:szCs w:val="20"/>
                <w:lang w:val="es-AR"/>
              </w:rPr>
              <w:t>Clase media baja</w:t>
            </w:r>
          </w:p>
        </w:tc>
      </w:tr>
      <w:tr w:rsidR="00BB18CD" w:rsidRPr="009951A2" w14:paraId="4A54850A" w14:textId="77777777" w:rsidTr="00BB18CD">
        <w:tc>
          <w:tcPr>
            <w:tcW w:w="1221" w:type="dxa"/>
            <w:vMerge/>
            <w:tcBorders>
              <w:left w:val="single" w:sz="4" w:space="0" w:color="000000" w:themeColor="text1"/>
            </w:tcBorders>
          </w:tcPr>
          <w:p w14:paraId="671407E0" w14:textId="77777777" w:rsidR="00BB18CD" w:rsidRPr="009951A2" w:rsidRDefault="00BB18CD" w:rsidP="009951A2">
            <w:pPr>
              <w:keepNext/>
              <w:jc w:val="both"/>
              <w:rPr>
                <w:sz w:val="20"/>
                <w:szCs w:val="20"/>
                <w:lang w:val="es-AR"/>
              </w:rPr>
            </w:pPr>
          </w:p>
        </w:tc>
        <w:tc>
          <w:tcPr>
            <w:tcW w:w="921" w:type="dxa"/>
            <w:vMerge/>
            <w:tcBorders>
              <w:bottom w:val="single" w:sz="12" w:space="0" w:color="000000" w:themeColor="text1"/>
            </w:tcBorders>
          </w:tcPr>
          <w:p w14:paraId="067F1324" w14:textId="77777777" w:rsidR="00BB18CD" w:rsidRPr="009951A2" w:rsidRDefault="00BB18CD" w:rsidP="009951A2">
            <w:pPr>
              <w:keepNext/>
              <w:jc w:val="both"/>
              <w:rPr>
                <w:sz w:val="20"/>
                <w:szCs w:val="20"/>
                <w:lang w:val="es-AR"/>
              </w:rPr>
            </w:pPr>
          </w:p>
        </w:tc>
        <w:tc>
          <w:tcPr>
            <w:tcW w:w="1175" w:type="dxa"/>
            <w:vMerge/>
            <w:tcBorders>
              <w:bottom w:val="single" w:sz="12" w:space="0" w:color="000000" w:themeColor="text1"/>
            </w:tcBorders>
            <w:vAlign w:val="center"/>
          </w:tcPr>
          <w:p w14:paraId="540DFBBB" w14:textId="77777777" w:rsidR="00BB18CD" w:rsidRPr="009951A2" w:rsidRDefault="00BB18CD" w:rsidP="009951A2">
            <w:pPr>
              <w:keepNext/>
              <w:jc w:val="center"/>
              <w:rPr>
                <w:sz w:val="20"/>
                <w:szCs w:val="20"/>
                <w:lang w:val="es-AR"/>
              </w:rPr>
            </w:pPr>
          </w:p>
        </w:tc>
        <w:tc>
          <w:tcPr>
            <w:tcW w:w="545" w:type="dxa"/>
            <w:vMerge/>
            <w:tcBorders>
              <w:bottom w:val="single" w:sz="12" w:space="0" w:color="000000" w:themeColor="text1"/>
            </w:tcBorders>
            <w:vAlign w:val="center"/>
          </w:tcPr>
          <w:p w14:paraId="377F22DB" w14:textId="77777777" w:rsidR="00BB18CD" w:rsidRPr="009951A2" w:rsidRDefault="00BB18CD" w:rsidP="009951A2">
            <w:pPr>
              <w:keepNext/>
              <w:jc w:val="center"/>
              <w:rPr>
                <w:sz w:val="20"/>
                <w:szCs w:val="20"/>
                <w:lang w:val="es-AR"/>
              </w:rPr>
            </w:pPr>
          </w:p>
        </w:tc>
        <w:tc>
          <w:tcPr>
            <w:tcW w:w="873" w:type="dxa"/>
            <w:vMerge/>
            <w:tcBorders>
              <w:bottom w:val="single" w:sz="12" w:space="0" w:color="000000" w:themeColor="text1"/>
            </w:tcBorders>
            <w:vAlign w:val="center"/>
          </w:tcPr>
          <w:p w14:paraId="2368F0F2" w14:textId="77777777" w:rsidR="00BB18CD" w:rsidRPr="009951A2" w:rsidRDefault="00BB18CD" w:rsidP="009951A2">
            <w:pPr>
              <w:keepNext/>
              <w:jc w:val="center"/>
              <w:rPr>
                <w:sz w:val="20"/>
                <w:szCs w:val="20"/>
                <w:lang w:val="es-AR"/>
              </w:rPr>
            </w:pPr>
          </w:p>
        </w:tc>
        <w:tc>
          <w:tcPr>
            <w:tcW w:w="1206" w:type="dxa"/>
            <w:vMerge/>
            <w:tcBorders>
              <w:bottom w:val="single" w:sz="12" w:space="0" w:color="000000" w:themeColor="text1"/>
            </w:tcBorders>
            <w:vAlign w:val="center"/>
          </w:tcPr>
          <w:p w14:paraId="0BF02F09" w14:textId="77777777" w:rsidR="00BB18CD" w:rsidRPr="009951A2" w:rsidRDefault="00BB18CD" w:rsidP="009951A2">
            <w:pPr>
              <w:keepNext/>
              <w:jc w:val="center"/>
              <w:rPr>
                <w:sz w:val="20"/>
                <w:szCs w:val="20"/>
                <w:lang w:val="es-AR"/>
              </w:rPr>
            </w:pPr>
          </w:p>
        </w:tc>
        <w:tc>
          <w:tcPr>
            <w:tcW w:w="999" w:type="dxa"/>
            <w:vMerge/>
            <w:tcBorders>
              <w:bottom w:val="single" w:sz="12" w:space="0" w:color="000000" w:themeColor="text1"/>
            </w:tcBorders>
            <w:vAlign w:val="center"/>
          </w:tcPr>
          <w:p w14:paraId="18492BD0" w14:textId="77777777" w:rsidR="00BB18CD" w:rsidRPr="009951A2" w:rsidRDefault="00BB18CD" w:rsidP="009951A2">
            <w:pPr>
              <w:keepNext/>
              <w:jc w:val="center"/>
              <w:rPr>
                <w:sz w:val="20"/>
                <w:szCs w:val="20"/>
                <w:lang w:val="es-AR"/>
              </w:rPr>
            </w:pPr>
          </w:p>
        </w:tc>
        <w:tc>
          <w:tcPr>
            <w:tcW w:w="1213" w:type="dxa"/>
            <w:tcBorders>
              <w:bottom w:val="single" w:sz="12" w:space="0" w:color="000000" w:themeColor="text1"/>
            </w:tcBorders>
            <w:vAlign w:val="center"/>
          </w:tcPr>
          <w:p w14:paraId="4A227F3D" w14:textId="77777777" w:rsidR="00BB18CD" w:rsidRPr="009951A2" w:rsidRDefault="00BB18CD" w:rsidP="00BB18CD">
            <w:pPr>
              <w:keepNext/>
              <w:jc w:val="center"/>
              <w:rPr>
                <w:sz w:val="20"/>
                <w:szCs w:val="20"/>
                <w:lang w:val="es-AR"/>
              </w:rPr>
            </w:pPr>
            <w:r>
              <w:rPr>
                <w:sz w:val="20"/>
                <w:szCs w:val="20"/>
                <w:lang w:val="es-AR"/>
              </w:rPr>
              <w:t>P</w:t>
            </w:r>
            <w:r w:rsidRPr="00BB18CD">
              <w:rPr>
                <w:sz w:val="20"/>
                <w:szCs w:val="20"/>
                <w:lang w:val="es-AR"/>
              </w:rPr>
              <w:t xml:space="preserve">iso precario </w:t>
            </w:r>
            <w:r>
              <w:rPr>
                <w:sz w:val="20"/>
                <w:szCs w:val="20"/>
                <w:lang w:val="es-AR"/>
              </w:rPr>
              <w:t>&gt;</w:t>
            </w:r>
            <w:r w:rsidRPr="00BB18CD">
              <w:rPr>
                <w:sz w:val="20"/>
                <w:szCs w:val="20"/>
                <w:lang w:val="es-AR"/>
              </w:rPr>
              <w:t xml:space="preserve"> </w:t>
            </w:r>
            <w:r>
              <w:rPr>
                <w:sz w:val="20"/>
                <w:szCs w:val="20"/>
                <w:lang w:val="es-AR"/>
              </w:rPr>
              <w:t>9</w:t>
            </w:r>
            <w:r w:rsidRPr="00BB18CD">
              <w:rPr>
                <w:sz w:val="20"/>
                <w:szCs w:val="20"/>
                <w:lang w:val="es-AR"/>
              </w:rPr>
              <w:t xml:space="preserve">0% </w:t>
            </w:r>
            <w:proofErr w:type="gramStart"/>
            <w:r>
              <w:rPr>
                <w:sz w:val="20"/>
                <w:szCs w:val="20"/>
                <w:lang w:val="es-AR"/>
              </w:rPr>
              <w:t>o</w:t>
            </w:r>
            <w:r w:rsidRPr="00BB18CD">
              <w:rPr>
                <w:sz w:val="20"/>
                <w:szCs w:val="20"/>
                <w:lang w:val="es-AR"/>
              </w:rPr>
              <w:t xml:space="preserve">  18</w:t>
            </w:r>
            <w:proofErr w:type="gramEnd"/>
            <w:r w:rsidRPr="00BB18CD">
              <w:rPr>
                <w:sz w:val="20"/>
                <w:szCs w:val="20"/>
                <w:lang w:val="es-AR"/>
              </w:rPr>
              <w:t xml:space="preserve"> a 29 utilizan computadora </w:t>
            </w:r>
            <w:r>
              <w:rPr>
                <w:sz w:val="20"/>
                <w:szCs w:val="20"/>
                <w:lang w:val="es-AR"/>
              </w:rPr>
              <w:t>&lt;=</w:t>
            </w:r>
            <w:r w:rsidRPr="00BB18CD">
              <w:rPr>
                <w:sz w:val="20"/>
                <w:szCs w:val="20"/>
                <w:lang w:val="es-AR"/>
              </w:rPr>
              <w:t xml:space="preserve"> 75%</w:t>
            </w:r>
          </w:p>
        </w:tc>
        <w:tc>
          <w:tcPr>
            <w:tcW w:w="337" w:type="dxa"/>
            <w:tcBorders>
              <w:bottom w:val="single" w:sz="12" w:space="0" w:color="000000" w:themeColor="text1"/>
            </w:tcBorders>
            <w:vAlign w:val="center"/>
          </w:tcPr>
          <w:p w14:paraId="2878153D"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tcBorders>
              <w:bottom w:val="single" w:sz="12" w:space="0" w:color="000000" w:themeColor="text1"/>
            </w:tcBorders>
            <w:vAlign w:val="center"/>
          </w:tcPr>
          <w:p w14:paraId="21D382FA" w14:textId="53208707" w:rsidR="00477BED" w:rsidRPr="00477BED" w:rsidRDefault="00477BED" w:rsidP="00477BED">
            <w:pPr>
              <w:keepNext/>
              <w:jc w:val="center"/>
              <w:rPr>
                <w:sz w:val="20"/>
                <w:szCs w:val="20"/>
                <w:lang w:val="es-AR"/>
              </w:rPr>
            </w:pPr>
            <w:r>
              <w:rPr>
                <w:sz w:val="20"/>
                <w:szCs w:val="20"/>
                <w:lang w:val="es-AR"/>
              </w:rPr>
              <w:t>Clase baja integrada</w:t>
            </w:r>
          </w:p>
        </w:tc>
      </w:tr>
      <w:tr w:rsidR="00BB18CD" w:rsidRPr="009951A2" w14:paraId="45EB45FB" w14:textId="77777777" w:rsidTr="00BB18CD">
        <w:trPr>
          <w:trHeight w:val="1223"/>
        </w:trPr>
        <w:tc>
          <w:tcPr>
            <w:tcW w:w="1221" w:type="dxa"/>
            <w:vMerge/>
            <w:tcBorders>
              <w:left w:val="single" w:sz="4" w:space="0" w:color="000000" w:themeColor="text1"/>
            </w:tcBorders>
          </w:tcPr>
          <w:p w14:paraId="2780B0C5" w14:textId="77777777" w:rsidR="00BB18CD" w:rsidRPr="009951A2" w:rsidRDefault="00BB18CD" w:rsidP="009951A2">
            <w:pPr>
              <w:keepNext/>
              <w:rPr>
                <w:sz w:val="20"/>
                <w:szCs w:val="20"/>
                <w:lang w:val="es-AR"/>
              </w:rPr>
            </w:pPr>
          </w:p>
        </w:tc>
        <w:tc>
          <w:tcPr>
            <w:tcW w:w="921" w:type="dxa"/>
            <w:vMerge w:val="restart"/>
            <w:tcBorders>
              <w:top w:val="single" w:sz="12" w:space="0" w:color="000000" w:themeColor="text1"/>
            </w:tcBorders>
          </w:tcPr>
          <w:p w14:paraId="0F0A2AC5" w14:textId="77777777" w:rsidR="00BB18CD" w:rsidRPr="009951A2" w:rsidRDefault="00BB18CD" w:rsidP="009951A2">
            <w:pPr>
              <w:keepNext/>
              <w:rPr>
                <w:sz w:val="20"/>
                <w:szCs w:val="20"/>
                <w:lang w:val="es-AR"/>
              </w:rPr>
            </w:pPr>
            <w:r w:rsidRPr="009951A2">
              <w:rPr>
                <w:sz w:val="20"/>
                <w:szCs w:val="20"/>
                <w:lang w:val="es-AR"/>
              </w:rPr>
              <w:t xml:space="preserve">&gt; 60% de los hogares con </w:t>
            </w:r>
            <w:proofErr w:type="gramStart"/>
            <w:r w:rsidRPr="009951A2">
              <w:rPr>
                <w:sz w:val="20"/>
                <w:szCs w:val="20"/>
                <w:lang w:val="es-AR"/>
              </w:rPr>
              <w:t xml:space="preserve">valores </w:t>
            </w:r>
            <w:r w:rsidR="001F17B6" w:rsidRPr="009951A2">
              <w:rPr>
                <w:sz w:val="20"/>
                <w:szCs w:val="20"/>
                <w:lang w:val="es-AR"/>
              </w:rPr>
              <w:t xml:space="preserve"> </w:t>
            </w:r>
            <w:r w:rsidR="001F17B6">
              <w:rPr>
                <w:sz w:val="20"/>
                <w:szCs w:val="20"/>
                <w:lang w:val="es-AR"/>
              </w:rPr>
              <w:t>‘</w:t>
            </w:r>
            <w:proofErr w:type="gramEnd"/>
            <w:r w:rsidR="001F17B6">
              <w:rPr>
                <w:sz w:val="20"/>
                <w:szCs w:val="20"/>
                <w:lang w:val="es-AR"/>
              </w:rPr>
              <w:t>Básica’ o ‘Insuficiente</w:t>
            </w:r>
            <w:proofErr w:type="gramStart"/>
            <w:r w:rsidR="001F17B6">
              <w:rPr>
                <w:sz w:val="20"/>
                <w:szCs w:val="20"/>
                <w:lang w:val="es-AR"/>
              </w:rPr>
              <w:t>’</w:t>
            </w:r>
            <w:r w:rsidR="001F17B6" w:rsidRPr="009951A2">
              <w:rPr>
                <w:sz w:val="20"/>
                <w:szCs w:val="20"/>
                <w:lang w:val="es-AR"/>
              </w:rPr>
              <w:t>.</w:t>
            </w:r>
            <w:r w:rsidRPr="009951A2">
              <w:rPr>
                <w:sz w:val="20"/>
                <w:szCs w:val="20"/>
                <w:lang w:val="es-AR"/>
              </w:rPr>
              <w:t>.</w:t>
            </w:r>
            <w:proofErr w:type="gramEnd"/>
          </w:p>
          <w:p w14:paraId="141779B2" w14:textId="77777777" w:rsidR="00BB18CD" w:rsidRPr="009951A2" w:rsidRDefault="00BB18CD" w:rsidP="009951A2">
            <w:pPr>
              <w:keepNext/>
              <w:jc w:val="both"/>
              <w:rPr>
                <w:sz w:val="20"/>
                <w:szCs w:val="20"/>
                <w:lang w:val="es-AR"/>
              </w:rPr>
            </w:pPr>
          </w:p>
        </w:tc>
        <w:tc>
          <w:tcPr>
            <w:tcW w:w="1175" w:type="dxa"/>
            <w:vMerge w:val="restart"/>
            <w:tcBorders>
              <w:top w:val="single" w:sz="12" w:space="0" w:color="000000" w:themeColor="text1"/>
            </w:tcBorders>
            <w:vAlign w:val="center"/>
          </w:tcPr>
          <w:p w14:paraId="63A468FE" w14:textId="77777777" w:rsidR="00BB18CD" w:rsidRPr="009951A2" w:rsidRDefault="00BB18CD" w:rsidP="009951A2">
            <w:pPr>
              <w:keepNext/>
              <w:jc w:val="center"/>
              <w:rPr>
                <w:sz w:val="20"/>
                <w:szCs w:val="20"/>
                <w:lang w:val="es-AR"/>
              </w:rPr>
            </w:pPr>
            <w:r w:rsidRPr="009951A2">
              <w:rPr>
                <w:sz w:val="20"/>
                <w:szCs w:val="20"/>
                <w:lang w:val="es-AR"/>
              </w:rPr>
              <w:t>Asistencia de jóvenes sin secundario de 14 a 25 años</w:t>
            </w:r>
          </w:p>
          <w:p w14:paraId="355CD57B" w14:textId="77777777" w:rsidR="00BB18CD" w:rsidRPr="009951A2" w:rsidRDefault="00BB18CD" w:rsidP="009951A2">
            <w:pPr>
              <w:keepNext/>
              <w:jc w:val="center"/>
              <w:rPr>
                <w:sz w:val="20"/>
                <w:szCs w:val="20"/>
                <w:lang w:val="es-AR"/>
              </w:rPr>
            </w:pPr>
          </w:p>
        </w:tc>
        <w:tc>
          <w:tcPr>
            <w:tcW w:w="545" w:type="dxa"/>
            <w:tcBorders>
              <w:top w:val="single" w:sz="12" w:space="0" w:color="000000" w:themeColor="text1"/>
            </w:tcBorders>
            <w:vAlign w:val="center"/>
          </w:tcPr>
          <w:p w14:paraId="4576972A" w14:textId="77777777" w:rsidR="00BB18CD" w:rsidRPr="009951A2" w:rsidRDefault="00BB18CD" w:rsidP="009951A2">
            <w:pPr>
              <w:keepNext/>
              <w:jc w:val="center"/>
              <w:rPr>
                <w:sz w:val="20"/>
                <w:szCs w:val="20"/>
                <w:lang w:val="es-AR"/>
              </w:rPr>
            </w:pPr>
            <w:r w:rsidRPr="009951A2">
              <w:rPr>
                <w:sz w:val="20"/>
                <w:szCs w:val="20"/>
                <w:lang w:val="es-AR"/>
              </w:rPr>
              <w:t>&gt;= 60%</w:t>
            </w:r>
          </w:p>
        </w:tc>
        <w:tc>
          <w:tcPr>
            <w:tcW w:w="2079" w:type="dxa"/>
            <w:gridSpan w:val="2"/>
            <w:tcBorders>
              <w:top w:val="single" w:sz="12" w:space="0" w:color="000000" w:themeColor="text1"/>
              <w:right w:val="nil"/>
            </w:tcBorders>
            <w:vAlign w:val="center"/>
          </w:tcPr>
          <w:p w14:paraId="71920B09"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2212" w:type="dxa"/>
            <w:gridSpan w:val="2"/>
            <w:tcBorders>
              <w:top w:val="single" w:sz="12" w:space="0" w:color="000000" w:themeColor="text1"/>
              <w:left w:val="nil"/>
              <w:bottom w:val="single" w:sz="4" w:space="0" w:color="000000" w:themeColor="text1"/>
            </w:tcBorders>
            <w:vAlign w:val="center"/>
          </w:tcPr>
          <w:p w14:paraId="0ABE3DE0"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337" w:type="dxa"/>
            <w:tcBorders>
              <w:top w:val="single" w:sz="12" w:space="0" w:color="000000" w:themeColor="text1"/>
            </w:tcBorders>
            <w:vAlign w:val="center"/>
          </w:tcPr>
          <w:p w14:paraId="3F58798A" w14:textId="77777777" w:rsidR="00BB18CD" w:rsidRPr="009951A2" w:rsidRDefault="00BB18CD" w:rsidP="009951A2">
            <w:pPr>
              <w:keepNext/>
              <w:jc w:val="center"/>
              <w:rPr>
                <w:sz w:val="20"/>
                <w:szCs w:val="20"/>
                <w:lang w:val="es-AR"/>
              </w:rPr>
            </w:pPr>
            <w:r w:rsidRPr="00BB18CD">
              <w:rPr>
                <w:sz w:val="20"/>
                <w:szCs w:val="20"/>
                <w:lang w:val="es-AR"/>
              </w:rPr>
              <w:sym w:font="Wingdings" w:char="F0E8"/>
            </w:r>
          </w:p>
        </w:tc>
        <w:tc>
          <w:tcPr>
            <w:tcW w:w="984" w:type="dxa"/>
            <w:tcBorders>
              <w:top w:val="single" w:sz="12" w:space="0" w:color="000000" w:themeColor="text1"/>
            </w:tcBorders>
            <w:vAlign w:val="center"/>
          </w:tcPr>
          <w:p w14:paraId="403B81B1" w14:textId="71043539" w:rsidR="00BB18CD" w:rsidRPr="009951A2" w:rsidRDefault="00477BED" w:rsidP="009951A2">
            <w:pPr>
              <w:keepNext/>
              <w:jc w:val="center"/>
              <w:rPr>
                <w:sz w:val="20"/>
                <w:szCs w:val="20"/>
                <w:lang w:val="es-AR"/>
              </w:rPr>
            </w:pPr>
            <w:r>
              <w:rPr>
                <w:sz w:val="20"/>
                <w:szCs w:val="20"/>
                <w:lang w:val="es-AR"/>
              </w:rPr>
              <w:t>Clase baja</w:t>
            </w:r>
          </w:p>
        </w:tc>
      </w:tr>
      <w:tr w:rsidR="00BB18CD" w:rsidRPr="009951A2" w14:paraId="0385DFB7" w14:textId="77777777" w:rsidTr="00BB18CD">
        <w:tc>
          <w:tcPr>
            <w:tcW w:w="1221" w:type="dxa"/>
            <w:vMerge/>
            <w:tcBorders>
              <w:left w:val="single" w:sz="4" w:space="0" w:color="000000" w:themeColor="text1"/>
              <w:bottom w:val="single" w:sz="12" w:space="0" w:color="000000" w:themeColor="text1"/>
            </w:tcBorders>
          </w:tcPr>
          <w:p w14:paraId="6DE8907D" w14:textId="77777777" w:rsidR="00BB18CD" w:rsidRPr="009951A2" w:rsidRDefault="00BB18CD" w:rsidP="00F675CF">
            <w:pPr>
              <w:jc w:val="both"/>
              <w:rPr>
                <w:sz w:val="20"/>
                <w:szCs w:val="20"/>
                <w:lang w:val="es-AR"/>
              </w:rPr>
            </w:pPr>
          </w:p>
        </w:tc>
        <w:tc>
          <w:tcPr>
            <w:tcW w:w="921" w:type="dxa"/>
            <w:vMerge/>
            <w:tcBorders>
              <w:bottom w:val="single" w:sz="12" w:space="0" w:color="000000" w:themeColor="text1"/>
            </w:tcBorders>
          </w:tcPr>
          <w:p w14:paraId="0DFBF13E" w14:textId="77777777" w:rsidR="00BB18CD" w:rsidRPr="009951A2" w:rsidRDefault="00BB18CD" w:rsidP="00F675CF">
            <w:pPr>
              <w:jc w:val="both"/>
              <w:rPr>
                <w:sz w:val="20"/>
                <w:szCs w:val="20"/>
                <w:lang w:val="es-AR"/>
              </w:rPr>
            </w:pPr>
          </w:p>
        </w:tc>
        <w:tc>
          <w:tcPr>
            <w:tcW w:w="1175" w:type="dxa"/>
            <w:vMerge/>
            <w:tcBorders>
              <w:bottom w:val="single" w:sz="12" w:space="0" w:color="000000" w:themeColor="text1"/>
            </w:tcBorders>
            <w:vAlign w:val="center"/>
          </w:tcPr>
          <w:p w14:paraId="1562854F" w14:textId="77777777" w:rsidR="00BB18CD" w:rsidRPr="009951A2" w:rsidRDefault="00BB18CD" w:rsidP="009951A2">
            <w:pPr>
              <w:jc w:val="center"/>
              <w:rPr>
                <w:sz w:val="20"/>
                <w:szCs w:val="20"/>
                <w:lang w:val="es-AR"/>
              </w:rPr>
            </w:pPr>
          </w:p>
        </w:tc>
        <w:tc>
          <w:tcPr>
            <w:tcW w:w="545" w:type="dxa"/>
            <w:tcBorders>
              <w:bottom w:val="single" w:sz="12" w:space="0" w:color="000000" w:themeColor="text1"/>
            </w:tcBorders>
            <w:vAlign w:val="center"/>
          </w:tcPr>
          <w:p w14:paraId="7FA0DA7F" w14:textId="77777777" w:rsidR="00BB18CD" w:rsidRPr="009951A2" w:rsidRDefault="00BB18CD" w:rsidP="009951A2">
            <w:pPr>
              <w:jc w:val="center"/>
              <w:rPr>
                <w:sz w:val="20"/>
                <w:szCs w:val="20"/>
                <w:lang w:val="es-AR"/>
              </w:rPr>
            </w:pPr>
            <w:r w:rsidRPr="009951A2">
              <w:rPr>
                <w:sz w:val="20"/>
                <w:szCs w:val="20"/>
                <w:lang w:val="es-AR"/>
              </w:rPr>
              <w:t>&lt; %60</w:t>
            </w:r>
          </w:p>
        </w:tc>
        <w:tc>
          <w:tcPr>
            <w:tcW w:w="2079" w:type="dxa"/>
            <w:gridSpan w:val="2"/>
            <w:tcBorders>
              <w:bottom w:val="single" w:sz="12" w:space="0" w:color="000000" w:themeColor="text1"/>
              <w:right w:val="nil"/>
            </w:tcBorders>
            <w:vAlign w:val="center"/>
          </w:tcPr>
          <w:p w14:paraId="58EB402F" w14:textId="77777777" w:rsidR="00BB18CD" w:rsidRPr="009951A2" w:rsidRDefault="00BB18CD" w:rsidP="009951A2">
            <w:pPr>
              <w:jc w:val="center"/>
              <w:rPr>
                <w:sz w:val="20"/>
                <w:szCs w:val="20"/>
                <w:lang w:val="es-AR"/>
              </w:rPr>
            </w:pPr>
            <w:r w:rsidRPr="00BB18CD">
              <w:rPr>
                <w:sz w:val="20"/>
                <w:szCs w:val="20"/>
                <w:lang w:val="es-AR"/>
              </w:rPr>
              <w:sym w:font="Wingdings" w:char="F0E8"/>
            </w:r>
          </w:p>
        </w:tc>
        <w:tc>
          <w:tcPr>
            <w:tcW w:w="2212" w:type="dxa"/>
            <w:gridSpan w:val="2"/>
            <w:tcBorders>
              <w:left w:val="nil"/>
              <w:bottom w:val="single" w:sz="12" w:space="0" w:color="000000" w:themeColor="text1"/>
            </w:tcBorders>
            <w:vAlign w:val="center"/>
          </w:tcPr>
          <w:p w14:paraId="540A2344" w14:textId="77777777" w:rsidR="00BB18CD" w:rsidRPr="009951A2" w:rsidRDefault="00BB18CD" w:rsidP="009951A2">
            <w:pPr>
              <w:jc w:val="center"/>
              <w:rPr>
                <w:sz w:val="20"/>
                <w:szCs w:val="20"/>
                <w:lang w:val="es-AR"/>
              </w:rPr>
            </w:pPr>
            <w:r w:rsidRPr="00BB18CD">
              <w:rPr>
                <w:sz w:val="20"/>
                <w:szCs w:val="20"/>
                <w:lang w:val="es-AR"/>
              </w:rPr>
              <w:sym w:font="Wingdings" w:char="F0E8"/>
            </w:r>
          </w:p>
        </w:tc>
        <w:tc>
          <w:tcPr>
            <w:tcW w:w="337" w:type="dxa"/>
            <w:tcBorders>
              <w:bottom w:val="single" w:sz="12" w:space="0" w:color="000000" w:themeColor="text1"/>
            </w:tcBorders>
            <w:vAlign w:val="center"/>
          </w:tcPr>
          <w:p w14:paraId="23F7B987" w14:textId="77777777" w:rsidR="00BB18CD" w:rsidRPr="009951A2" w:rsidRDefault="00BB18CD" w:rsidP="009951A2">
            <w:pPr>
              <w:jc w:val="center"/>
              <w:rPr>
                <w:sz w:val="20"/>
                <w:szCs w:val="20"/>
                <w:lang w:val="es-AR"/>
              </w:rPr>
            </w:pPr>
            <w:r w:rsidRPr="00BB18CD">
              <w:rPr>
                <w:sz w:val="20"/>
                <w:szCs w:val="20"/>
                <w:lang w:val="es-AR"/>
              </w:rPr>
              <w:sym w:font="Wingdings" w:char="F0E8"/>
            </w:r>
          </w:p>
        </w:tc>
        <w:tc>
          <w:tcPr>
            <w:tcW w:w="984" w:type="dxa"/>
            <w:tcBorders>
              <w:bottom w:val="single" w:sz="12" w:space="0" w:color="000000" w:themeColor="text1"/>
            </w:tcBorders>
            <w:vAlign w:val="center"/>
          </w:tcPr>
          <w:p w14:paraId="71953101" w14:textId="7CC2B5CF" w:rsidR="00BB18CD" w:rsidRPr="009951A2" w:rsidRDefault="00477BED" w:rsidP="009951A2">
            <w:pPr>
              <w:jc w:val="center"/>
              <w:rPr>
                <w:sz w:val="20"/>
                <w:szCs w:val="20"/>
                <w:lang w:val="es-AR"/>
              </w:rPr>
            </w:pPr>
            <w:r>
              <w:rPr>
                <w:sz w:val="20"/>
                <w:szCs w:val="20"/>
                <w:lang w:val="es-AR"/>
              </w:rPr>
              <w:t xml:space="preserve">Clase </w:t>
            </w:r>
            <w:proofErr w:type="gramStart"/>
            <w:r>
              <w:rPr>
                <w:sz w:val="20"/>
                <w:szCs w:val="20"/>
                <w:lang w:val="es-AR"/>
              </w:rPr>
              <w:t>muy  baja</w:t>
            </w:r>
            <w:proofErr w:type="gramEnd"/>
          </w:p>
        </w:tc>
      </w:tr>
    </w:tbl>
    <w:p w14:paraId="78315AC5" w14:textId="171AFC87" w:rsidR="00F22243" w:rsidRDefault="00DD7BA0" w:rsidP="00DD7BA0">
      <w:pPr>
        <w:pStyle w:val="Heading3"/>
      </w:pPr>
      <w:r>
        <w:br/>
      </w:r>
      <w:r w:rsidR="00F22243">
        <w:t>Marginalidad</w:t>
      </w:r>
    </w:p>
    <w:p w14:paraId="18743E4A" w14:textId="77777777" w:rsidR="00F22243" w:rsidRDefault="00F22243" w:rsidP="00D454F6">
      <w:pPr>
        <w:jc w:val="both"/>
        <w:rPr>
          <w:lang w:val="es-AR"/>
        </w:rPr>
      </w:pPr>
      <w:r w:rsidRPr="00F22243">
        <w:rPr>
          <w:lang w:val="es-AR"/>
        </w:rPr>
        <w:t xml:space="preserve">Dos </w:t>
      </w:r>
      <w:r>
        <w:rPr>
          <w:lang w:val="es-AR"/>
        </w:rPr>
        <w:t xml:space="preserve">de las variables </w:t>
      </w:r>
      <w:r w:rsidR="00DD7BA0">
        <w:rPr>
          <w:lang w:val="es-AR"/>
        </w:rPr>
        <w:t xml:space="preserve">disponibles en la base de datos </w:t>
      </w:r>
      <w:r>
        <w:rPr>
          <w:lang w:val="es-AR"/>
        </w:rPr>
        <w:t>refieren a indicadores de ‘marginalidad’. La</w:t>
      </w:r>
      <w:r w:rsidR="00DD7BA0">
        <w:rPr>
          <w:lang w:val="es-AR"/>
        </w:rPr>
        <w:t>s</w:t>
      </w:r>
      <w:r>
        <w:rPr>
          <w:lang w:val="es-AR"/>
        </w:rPr>
        <w:t xml:space="preserve"> misma</w:t>
      </w:r>
      <w:r w:rsidR="00DD7BA0">
        <w:rPr>
          <w:lang w:val="es-AR"/>
        </w:rPr>
        <w:t>s refieren a un</w:t>
      </w:r>
      <w:r>
        <w:rPr>
          <w:lang w:val="es-AR"/>
        </w:rPr>
        <w:t xml:space="preserve"> indicador que no es parte del Censo y que ha sido calculado </w:t>
      </w:r>
      <w:r w:rsidR="00DD7BA0">
        <w:rPr>
          <w:lang w:val="es-AR"/>
        </w:rPr>
        <w:t xml:space="preserve">combinando los </w:t>
      </w:r>
      <w:r>
        <w:rPr>
          <w:lang w:val="es-AR"/>
        </w:rPr>
        <w:t>siguiente</w:t>
      </w:r>
      <w:r w:rsidR="00DD7BA0">
        <w:rPr>
          <w:lang w:val="es-AR"/>
        </w:rPr>
        <w:t>s indicadores</w:t>
      </w:r>
      <w:r>
        <w:rPr>
          <w:lang w:val="es-AR"/>
        </w:rPr>
        <w:t>:</w:t>
      </w:r>
    </w:p>
    <w:p w14:paraId="3E866723" w14:textId="77777777" w:rsidR="00F22243" w:rsidRPr="00F22243" w:rsidRDefault="00F22243" w:rsidP="00F22243">
      <w:pPr>
        <w:jc w:val="both"/>
        <w:rPr>
          <w:lang w:val="es-AR"/>
        </w:rPr>
      </w:pPr>
      <w:r w:rsidRPr="00F22243">
        <w:rPr>
          <w:lang w:val="es-AR"/>
        </w:rPr>
        <w:lastRenderedPageBreak/>
        <w:t>- Calidad constructiva de la vivienda. Se incluyó a los hogares que tuvieran en esta categoría ‘calidad insuficiente’. Esta categoría refiere a hogares sin instalación de caños de agua en la vivienda y sin sistema de botón, cadena o mochila para limpieza del inodoro.</w:t>
      </w:r>
    </w:p>
    <w:p w14:paraId="452F83C7" w14:textId="77777777" w:rsidR="00F22243" w:rsidRPr="00F22243" w:rsidRDefault="00F22243" w:rsidP="00F22243">
      <w:pPr>
        <w:jc w:val="both"/>
        <w:rPr>
          <w:lang w:val="es-AR"/>
        </w:rPr>
      </w:pPr>
      <w:r w:rsidRPr="00F22243">
        <w:rPr>
          <w:lang w:val="es-AR"/>
        </w:rPr>
        <w:t>- Calidad de los materiales. Se consideró a los hogares que tuvieran III o IV en este ítem, lo que indica la presencia de materiales poco resistentes en techo y piso, así como ausencia de cielorraso.</w:t>
      </w:r>
    </w:p>
    <w:p w14:paraId="4ADF4FDF" w14:textId="77777777" w:rsidR="00F22243" w:rsidRPr="00F22243" w:rsidRDefault="00F22243" w:rsidP="00F22243">
      <w:pPr>
        <w:jc w:val="both"/>
        <w:rPr>
          <w:lang w:val="es-AR"/>
        </w:rPr>
      </w:pPr>
      <w:r w:rsidRPr="00F22243">
        <w:rPr>
          <w:lang w:val="es-AR"/>
        </w:rPr>
        <w:t>- Servicios: Teléfono de línea. Se incluyó el requisito de no poseer teléfono de línea en la vivienda. La disponibilidad de un teléfono de línea supone un grado importante de regularidad en el acceso y posesión de la vivienda.</w:t>
      </w:r>
    </w:p>
    <w:p w14:paraId="7407EB09" w14:textId="77777777" w:rsidR="00F22243" w:rsidRPr="00F22243" w:rsidRDefault="00F22243" w:rsidP="00F22243">
      <w:pPr>
        <w:jc w:val="both"/>
        <w:rPr>
          <w:lang w:val="es-AR"/>
        </w:rPr>
      </w:pPr>
      <w:r w:rsidRPr="00F22243">
        <w:rPr>
          <w:lang w:val="es-AR"/>
        </w:rPr>
        <w:t>Todos los hogares que reunier</w:t>
      </w:r>
      <w:r w:rsidR="00DD7BA0">
        <w:rPr>
          <w:lang w:val="es-AR"/>
        </w:rPr>
        <w:t>o</w:t>
      </w:r>
      <w:r w:rsidRPr="00F22243">
        <w:rPr>
          <w:lang w:val="es-AR"/>
        </w:rPr>
        <w:t xml:space="preserve">n estas 3 condiciones </w:t>
      </w:r>
      <w:r w:rsidR="00DD7BA0">
        <w:rPr>
          <w:lang w:val="es-AR"/>
        </w:rPr>
        <w:t xml:space="preserve">a la vez, </w:t>
      </w:r>
      <w:r w:rsidRPr="00F22243">
        <w:rPr>
          <w:lang w:val="es-AR"/>
        </w:rPr>
        <w:t xml:space="preserve">fueron contabilizados como </w:t>
      </w:r>
      <w:r w:rsidR="00DD7BA0">
        <w:rPr>
          <w:lang w:val="es-AR"/>
        </w:rPr>
        <w:t>hogares en situación</w:t>
      </w:r>
      <w:r w:rsidRPr="00F22243">
        <w:rPr>
          <w:lang w:val="es-AR"/>
        </w:rPr>
        <w:t xml:space="preserve"> de marginalidad.</w:t>
      </w:r>
      <w:r w:rsidR="00DD7BA0">
        <w:rPr>
          <w:lang w:val="es-AR"/>
        </w:rPr>
        <w:t xml:space="preserve"> </w:t>
      </w:r>
    </w:p>
    <w:p w14:paraId="6ED0ADFB" w14:textId="77777777" w:rsidR="00F008C2" w:rsidRDefault="00F22243" w:rsidP="00DD7BA0">
      <w:pPr>
        <w:pStyle w:val="Heading2"/>
      </w:pPr>
      <w:r>
        <w:t>Base de datos</w:t>
      </w:r>
    </w:p>
    <w:p w14:paraId="56AF5DCF" w14:textId="291116F1" w:rsidR="008954CA" w:rsidRDefault="008954CA" w:rsidP="008954CA">
      <w:pPr>
        <w:jc w:val="both"/>
        <w:rPr>
          <w:lang w:val="es-AR"/>
        </w:rPr>
      </w:pPr>
      <w:r>
        <w:rPr>
          <w:lang w:val="es-AR"/>
        </w:rPr>
        <w:t xml:space="preserve">Para la formación de las bases de datos se extrajeron del Censo Nacional de Población, Hogares y Vivienda 2010 indicadores socio-demográficos que permitieran caracterizar la población a nivel de radio. </w:t>
      </w:r>
    </w:p>
    <w:p w14:paraId="20AEB022" w14:textId="77777777" w:rsidR="00F22243" w:rsidRPr="00F22243" w:rsidRDefault="00F22243" w:rsidP="00DD7BA0">
      <w:pPr>
        <w:pStyle w:val="Heading3"/>
      </w:pPr>
      <w:r>
        <w:t>Indicadores</w:t>
      </w:r>
    </w:p>
    <w:p w14:paraId="68A7CB56" w14:textId="46D7AF05" w:rsidR="00F008C2" w:rsidRDefault="00DE4464" w:rsidP="005A02E6">
      <w:pPr>
        <w:keepNext/>
        <w:jc w:val="both"/>
        <w:rPr>
          <w:lang w:val="es-AR"/>
        </w:rPr>
      </w:pPr>
      <w:r>
        <w:rPr>
          <w:lang w:val="es-AR"/>
        </w:rPr>
        <w:t>A partir de</w:t>
      </w:r>
      <w:r w:rsidR="00AC4873">
        <w:rPr>
          <w:lang w:val="es-AR"/>
        </w:rPr>
        <w:t>l procesamiento</w:t>
      </w:r>
      <w:r>
        <w:rPr>
          <w:lang w:val="es-AR"/>
        </w:rPr>
        <w:t xml:space="preserve">, </w:t>
      </w:r>
      <w:proofErr w:type="gramStart"/>
      <w:r w:rsidR="008954CA">
        <w:rPr>
          <w:lang w:val="es-AR"/>
        </w:rPr>
        <w:t xml:space="preserve">un conjunto de </w:t>
      </w:r>
      <w:r w:rsidR="00F22243">
        <w:rPr>
          <w:lang w:val="es-AR"/>
        </w:rPr>
        <w:t>indicadores fueron</w:t>
      </w:r>
      <w:proofErr w:type="gramEnd"/>
      <w:r w:rsidR="00F22243">
        <w:rPr>
          <w:lang w:val="es-AR"/>
        </w:rPr>
        <w:t xml:space="preserve"> elaborados a nivel de radios, </w:t>
      </w:r>
      <w:r w:rsidR="008954CA">
        <w:rPr>
          <w:lang w:val="es-AR"/>
        </w:rPr>
        <w:t>los cuales se presentan a continuación.</w:t>
      </w:r>
    </w:p>
    <w:p w14:paraId="08308AEC" w14:textId="77777777" w:rsidR="00306B33" w:rsidRDefault="00306B33" w:rsidP="005A02E6">
      <w:pPr>
        <w:pStyle w:val="VariableSeparador"/>
        <w:keepNext/>
        <w:pBdr>
          <w:bottom w:val="single" w:sz="4" w:space="1" w:color="auto"/>
        </w:pBdr>
      </w:pPr>
      <w:r>
        <w:t>Listado de indicadores</w:t>
      </w:r>
    </w:p>
    <w:p w14:paraId="494E29B2" w14:textId="77777777" w:rsidR="00306B33" w:rsidRDefault="00306B33" w:rsidP="005A02E6">
      <w:pPr>
        <w:pStyle w:val="VariableSeparador"/>
        <w:keepNext/>
        <w:sectPr w:rsidR="00306B33" w:rsidSect="00EA60EF">
          <w:footerReference w:type="default" r:id="rId8"/>
          <w:pgSz w:w="12240" w:h="15840"/>
          <w:pgMar w:top="1276" w:right="1440" w:bottom="1440" w:left="1440" w:header="708" w:footer="708" w:gutter="0"/>
          <w:cols w:space="708"/>
          <w:docGrid w:linePitch="360"/>
        </w:sectPr>
      </w:pPr>
    </w:p>
    <w:p w14:paraId="56A260B6" w14:textId="77777777" w:rsidR="00F675CF" w:rsidRPr="00F675CF" w:rsidRDefault="00F675CF" w:rsidP="005A02E6">
      <w:pPr>
        <w:pStyle w:val="VariableSeparador"/>
        <w:keepNext/>
      </w:pPr>
      <w:r w:rsidRPr="00F675CF">
        <w:t xml:space="preserve">Indicadores de pobreza estructural </w:t>
      </w:r>
      <w:r w:rsidR="005A02E6">
        <w:t>en el espacio de la vivienda</w:t>
      </w:r>
    </w:p>
    <w:p w14:paraId="2E651829" w14:textId="77777777" w:rsidR="00F675CF" w:rsidRPr="00306B33" w:rsidRDefault="00F675CF" w:rsidP="005A02E6">
      <w:pPr>
        <w:pStyle w:val="Variables"/>
        <w:keepNext/>
      </w:pPr>
      <w:r w:rsidRPr="00306B33">
        <w:t>Hogares con al menos un indicador NBI</w:t>
      </w:r>
    </w:p>
    <w:p w14:paraId="775CA1E7" w14:textId="77777777" w:rsidR="00030C1C" w:rsidRDefault="00030C1C" w:rsidP="00030C1C">
      <w:pPr>
        <w:pStyle w:val="Variables"/>
      </w:pPr>
      <w:proofErr w:type="gramStart"/>
      <w:r w:rsidRPr="00F675CF">
        <w:t>Hogares total</w:t>
      </w:r>
      <w:proofErr w:type="gramEnd"/>
      <w:r w:rsidRPr="00F675CF">
        <w:t xml:space="preserve"> con marginalidad</w:t>
      </w:r>
    </w:p>
    <w:p w14:paraId="37BBFFEC" w14:textId="77777777" w:rsidR="00030C1C" w:rsidRDefault="00030C1C" w:rsidP="00030C1C">
      <w:pPr>
        <w:pStyle w:val="Variables"/>
      </w:pPr>
      <w:r>
        <w:t>Hogares con calidad de la vivienda insuficiente</w:t>
      </w:r>
    </w:p>
    <w:p w14:paraId="4255D4E1" w14:textId="77777777" w:rsidR="00030C1C" w:rsidRDefault="00030C1C" w:rsidP="00030C1C">
      <w:pPr>
        <w:pStyle w:val="Variables"/>
      </w:pPr>
      <w:r>
        <w:t xml:space="preserve">Hogares con calidad de la vivienda </w:t>
      </w:r>
      <w:r w:rsidR="00D8457F">
        <w:t>precaria (indicador censal INCALCONS ‘básica’ o ‘insuficiente’)</w:t>
      </w:r>
    </w:p>
    <w:p w14:paraId="71D494E6" w14:textId="77777777" w:rsidR="00030C1C" w:rsidRPr="00F675CF" w:rsidRDefault="00030C1C" w:rsidP="00030C1C">
      <w:pPr>
        <w:pStyle w:val="Variables"/>
      </w:pPr>
      <w:r>
        <w:t>Hogares sin sistema de botón, cadena o mochila para limpieza del inodoro.</w:t>
      </w:r>
    </w:p>
    <w:p w14:paraId="0361419B" w14:textId="77777777" w:rsidR="00F675CF" w:rsidRPr="00F675CF" w:rsidRDefault="00F675CF" w:rsidP="00306B33">
      <w:pPr>
        <w:pStyle w:val="Variables"/>
      </w:pPr>
      <w:r w:rsidRPr="00F675CF">
        <w:t>Hogares con hacinamiento (&gt;= 3 personas por cuarto)</w:t>
      </w:r>
    </w:p>
    <w:p w14:paraId="451E8923" w14:textId="77777777" w:rsidR="00F675CF" w:rsidRPr="00F675CF" w:rsidRDefault="00F675CF" w:rsidP="00306B33">
      <w:pPr>
        <w:pStyle w:val="Variables"/>
      </w:pPr>
      <w:r w:rsidRPr="00F675CF">
        <w:t>Hogares sin cañería de agua en la vivienda</w:t>
      </w:r>
    </w:p>
    <w:p w14:paraId="3F7FD589" w14:textId="77777777" w:rsidR="00F675CF" w:rsidRPr="00F675CF" w:rsidRDefault="00F675CF" w:rsidP="00306B33">
      <w:pPr>
        <w:pStyle w:val="Variables"/>
      </w:pPr>
      <w:r w:rsidRPr="00F675CF">
        <w:t>Hogares sin cloaca / red pública</w:t>
      </w:r>
    </w:p>
    <w:p w14:paraId="262FD019" w14:textId="77777777" w:rsidR="00F675CF" w:rsidRPr="00F675CF" w:rsidRDefault="00F675CF" w:rsidP="00306B33">
      <w:pPr>
        <w:pStyle w:val="Variables"/>
      </w:pPr>
      <w:r w:rsidRPr="00F675CF">
        <w:t xml:space="preserve">Hogares con </w:t>
      </w:r>
      <w:proofErr w:type="spellStart"/>
      <w:r w:rsidRPr="00F675CF">
        <w:t>desague</w:t>
      </w:r>
      <w:proofErr w:type="spellEnd"/>
      <w:r w:rsidRPr="00F675CF">
        <w:t xml:space="preserve"> a hoyo o pozo ciego sin cámara</w:t>
      </w:r>
    </w:p>
    <w:p w14:paraId="134F1511" w14:textId="77777777" w:rsidR="00F675CF" w:rsidRPr="00F675CF" w:rsidRDefault="00F675CF" w:rsidP="00306B33">
      <w:pPr>
        <w:pStyle w:val="Variables"/>
      </w:pPr>
      <w:r w:rsidRPr="00F675CF">
        <w:t>Hogares sin piso tipo 1 (cerámica, baldosa, mosaico, mármol, madera, alfombrado)</w:t>
      </w:r>
    </w:p>
    <w:p w14:paraId="5BE7F9AD" w14:textId="77777777" w:rsidR="00F675CF" w:rsidRDefault="00F675CF" w:rsidP="00306B33">
      <w:pPr>
        <w:pStyle w:val="Variables"/>
      </w:pPr>
      <w:r w:rsidRPr="00F675CF">
        <w:t>Hogares con garrafa o leña como combustible usado principalmente para cocinar</w:t>
      </w:r>
    </w:p>
    <w:p w14:paraId="6D624D24" w14:textId="77777777" w:rsidR="00030C1C" w:rsidRDefault="00030C1C" w:rsidP="00030C1C">
      <w:pPr>
        <w:pStyle w:val="Variables"/>
      </w:pPr>
      <w:r>
        <w:t xml:space="preserve">Hogares propietarios de la vivienda </w:t>
      </w:r>
    </w:p>
    <w:p w14:paraId="6F366279" w14:textId="77777777" w:rsidR="00030C1C" w:rsidRDefault="00030C1C" w:rsidP="00030C1C">
      <w:pPr>
        <w:pStyle w:val="Variables"/>
      </w:pPr>
      <w:r>
        <w:t xml:space="preserve">Hogares inquilinos de la vivienda </w:t>
      </w:r>
    </w:p>
    <w:p w14:paraId="146CBAAA" w14:textId="77777777" w:rsidR="00030C1C" w:rsidRPr="00F675CF" w:rsidRDefault="00030C1C" w:rsidP="00030C1C">
      <w:pPr>
        <w:pStyle w:val="Variables"/>
      </w:pPr>
      <w:r>
        <w:t>Hogares ni propietarios ni inquilinos</w:t>
      </w:r>
    </w:p>
    <w:p w14:paraId="2A41C53B" w14:textId="77777777" w:rsidR="005A02E6" w:rsidRPr="00F675CF" w:rsidRDefault="00F675CF" w:rsidP="00306B33">
      <w:pPr>
        <w:pStyle w:val="VariableSeparador"/>
      </w:pPr>
      <w:r w:rsidRPr="00F675CF">
        <w:t>Indicadores de los recursos materiales de los hogares:</w:t>
      </w:r>
      <w:r w:rsidR="005A02E6">
        <w:t xml:space="preserve"> Acceso a bienes y servicios</w:t>
      </w:r>
    </w:p>
    <w:p w14:paraId="38382820" w14:textId="77777777" w:rsidR="00F675CF" w:rsidRPr="00F675CF" w:rsidRDefault="00F675CF" w:rsidP="00306B33">
      <w:pPr>
        <w:pStyle w:val="Variables"/>
      </w:pPr>
      <w:r w:rsidRPr="00F675CF">
        <w:t>Hogares con computadora</w:t>
      </w:r>
    </w:p>
    <w:p w14:paraId="5D68163C" w14:textId="77777777" w:rsidR="00F675CF" w:rsidRPr="00F675CF" w:rsidRDefault="00F675CF" w:rsidP="00306B33">
      <w:pPr>
        <w:pStyle w:val="Variables"/>
      </w:pPr>
      <w:r w:rsidRPr="00F675CF">
        <w:t>Hogares sin heladera</w:t>
      </w:r>
    </w:p>
    <w:p w14:paraId="7D29E7FD" w14:textId="77777777" w:rsidR="00F675CF" w:rsidRPr="00F675CF" w:rsidRDefault="00F675CF" w:rsidP="00306B33">
      <w:pPr>
        <w:pStyle w:val="Variables"/>
      </w:pPr>
      <w:r w:rsidRPr="00F675CF">
        <w:t>Hogares con teléfono fijo</w:t>
      </w:r>
    </w:p>
    <w:p w14:paraId="4BB5E034" w14:textId="77777777" w:rsidR="00F675CF" w:rsidRPr="00F675CF" w:rsidRDefault="00F675CF" w:rsidP="00306B33">
      <w:pPr>
        <w:pStyle w:val="Variables"/>
      </w:pPr>
      <w:r w:rsidRPr="00F675CF">
        <w:t>Hogares con teléfono celular</w:t>
      </w:r>
    </w:p>
    <w:p w14:paraId="1B66F825" w14:textId="77777777" w:rsidR="00F675CF" w:rsidRPr="00F675CF" w:rsidRDefault="00F675CF" w:rsidP="00306B33">
      <w:pPr>
        <w:pStyle w:val="Variables"/>
      </w:pPr>
      <w:r w:rsidRPr="00F675CF">
        <w:t>Hogares con una o más personas de servicio doméstico sin retiro (con cama)</w:t>
      </w:r>
    </w:p>
    <w:p w14:paraId="584A6155" w14:textId="77777777" w:rsidR="00F675CF" w:rsidRPr="00F675CF" w:rsidRDefault="005A02E6" w:rsidP="00306B33">
      <w:pPr>
        <w:pStyle w:val="VariableSeparador"/>
      </w:pPr>
      <w:r>
        <w:t>Indicadores de población</w:t>
      </w:r>
    </w:p>
    <w:p w14:paraId="3884D511" w14:textId="77777777" w:rsidR="00F675CF" w:rsidRPr="00F675CF" w:rsidRDefault="00F675CF" w:rsidP="00306B33">
      <w:pPr>
        <w:pStyle w:val="Variables"/>
      </w:pPr>
      <w:r w:rsidRPr="00F675CF">
        <w:t>Población de 0 a 12 años</w:t>
      </w:r>
    </w:p>
    <w:p w14:paraId="5AEEC930" w14:textId="77777777" w:rsidR="00FF2740" w:rsidRPr="00F675CF" w:rsidRDefault="00FF2740" w:rsidP="00FF2740">
      <w:pPr>
        <w:pStyle w:val="Variables"/>
      </w:pPr>
      <w:r w:rsidRPr="00F675CF">
        <w:t>Población de 1</w:t>
      </w:r>
      <w:r>
        <w:t>3</w:t>
      </w:r>
      <w:r w:rsidRPr="00F675CF">
        <w:t xml:space="preserve"> a 1</w:t>
      </w:r>
      <w:r>
        <w:t xml:space="preserve">5 </w:t>
      </w:r>
      <w:r w:rsidRPr="00F675CF">
        <w:t>años</w:t>
      </w:r>
    </w:p>
    <w:p w14:paraId="15A91261" w14:textId="77777777" w:rsidR="00F675CF" w:rsidRPr="00F675CF" w:rsidRDefault="00F675CF" w:rsidP="00306B33">
      <w:pPr>
        <w:pStyle w:val="Variables"/>
      </w:pPr>
      <w:r w:rsidRPr="00F675CF">
        <w:t>Población de 16 a 17 años</w:t>
      </w:r>
    </w:p>
    <w:p w14:paraId="1232C1D9" w14:textId="77777777" w:rsidR="00F675CF" w:rsidRPr="00F675CF" w:rsidRDefault="00F675CF" w:rsidP="00306B33">
      <w:pPr>
        <w:pStyle w:val="Variables"/>
      </w:pPr>
      <w:r w:rsidRPr="00F675CF">
        <w:t>Población de 18 a 29 años</w:t>
      </w:r>
    </w:p>
    <w:p w14:paraId="4043548F" w14:textId="77777777" w:rsidR="00F675CF" w:rsidRPr="00F675CF" w:rsidRDefault="00F675CF" w:rsidP="00306B33">
      <w:pPr>
        <w:pStyle w:val="Variables"/>
      </w:pPr>
      <w:r w:rsidRPr="00F675CF">
        <w:t>Población de 30 a 54 años</w:t>
      </w:r>
    </w:p>
    <w:p w14:paraId="720FCAA9" w14:textId="77777777" w:rsidR="00F675CF" w:rsidRPr="00F675CF" w:rsidRDefault="00F675CF" w:rsidP="00306B33">
      <w:pPr>
        <w:pStyle w:val="Variables"/>
      </w:pPr>
      <w:r w:rsidRPr="00F675CF">
        <w:t>Población de 55 a 69 años</w:t>
      </w:r>
    </w:p>
    <w:p w14:paraId="62DEB7FE" w14:textId="77777777" w:rsidR="00F675CF" w:rsidRPr="00F675CF" w:rsidRDefault="00F675CF" w:rsidP="00306B33">
      <w:pPr>
        <w:pStyle w:val="Variables"/>
      </w:pPr>
      <w:r w:rsidRPr="00F675CF">
        <w:t>Población de 70 años y más</w:t>
      </w:r>
    </w:p>
    <w:p w14:paraId="15457C31" w14:textId="77777777" w:rsidR="00F675CF" w:rsidRPr="00F675CF" w:rsidRDefault="00F675CF" w:rsidP="00306B33">
      <w:pPr>
        <w:pStyle w:val="Variables"/>
      </w:pPr>
      <w:r w:rsidRPr="00F675CF">
        <w:t>Hogares con jefatura femenina</w:t>
      </w:r>
    </w:p>
    <w:p w14:paraId="25BA3360" w14:textId="77777777" w:rsidR="00F675CF" w:rsidRPr="00F675CF" w:rsidRDefault="00F675CF" w:rsidP="00306B33">
      <w:pPr>
        <w:pStyle w:val="Variables"/>
      </w:pPr>
      <w:r w:rsidRPr="00F675CF">
        <w:t>Hogares con jefe nacido en país limítrofe + Perú</w:t>
      </w:r>
    </w:p>
    <w:p w14:paraId="7351BFF7" w14:textId="77777777" w:rsidR="00F675CF" w:rsidRPr="00F675CF" w:rsidRDefault="00F675CF" w:rsidP="00306B33">
      <w:pPr>
        <w:pStyle w:val="Variables"/>
      </w:pPr>
      <w:r w:rsidRPr="00F675CF">
        <w:t>Población de 18 y más nacida en país limítrofe + Perú</w:t>
      </w:r>
    </w:p>
    <w:p w14:paraId="223E5B9F" w14:textId="77777777" w:rsidR="00F675CF" w:rsidRPr="00F675CF" w:rsidRDefault="00F675CF" w:rsidP="00306B33">
      <w:pPr>
        <w:pStyle w:val="Variables"/>
      </w:pPr>
      <w:r w:rsidRPr="00F675CF">
        <w:t>Indicadores de clima educativo del hogar (%)</w:t>
      </w:r>
    </w:p>
    <w:p w14:paraId="4D4DA406" w14:textId="77777777" w:rsidR="00F675CF" w:rsidRPr="00F675CF" w:rsidRDefault="00F675CF" w:rsidP="00306B33">
      <w:pPr>
        <w:pStyle w:val="Variables"/>
      </w:pPr>
      <w:r w:rsidRPr="00F675CF">
        <w:t>Hogares con jefes sin secundaria completa</w:t>
      </w:r>
    </w:p>
    <w:p w14:paraId="369A5C09" w14:textId="77777777" w:rsidR="00F675CF" w:rsidRPr="00F675CF" w:rsidRDefault="00F675CF" w:rsidP="00306B33">
      <w:pPr>
        <w:pStyle w:val="Variables"/>
      </w:pPr>
      <w:r w:rsidRPr="00F675CF">
        <w:t xml:space="preserve">Hogares con </w:t>
      </w:r>
      <w:proofErr w:type="spellStart"/>
      <w:r w:rsidRPr="00F675CF">
        <w:t>cónyugues</w:t>
      </w:r>
      <w:proofErr w:type="spellEnd"/>
      <w:r w:rsidRPr="00F675CF">
        <w:t xml:space="preserve"> sin secundaria completa</w:t>
      </w:r>
    </w:p>
    <w:p w14:paraId="5AC9A7A6" w14:textId="77777777" w:rsidR="00F675CF" w:rsidRPr="00F675CF" w:rsidRDefault="00F675CF" w:rsidP="00306B33">
      <w:pPr>
        <w:pStyle w:val="Variables"/>
      </w:pPr>
      <w:r w:rsidRPr="00F675CF">
        <w:t>Hogares con jefes con secundaria completa</w:t>
      </w:r>
    </w:p>
    <w:p w14:paraId="0531781B" w14:textId="77777777" w:rsidR="00F675CF" w:rsidRPr="00F675CF" w:rsidRDefault="00F675CF" w:rsidP="00306B33">
      <w:pPr>
        <w:pStyle w:val="Variables"/>
      </w:pPr>
      <w:r w:rsidRPr="00F675CF">
        <w:t>Hogares con jefes con universitario completa</w:t>
      </w:r>
    </w:p>
    <w:p w14:paraId="55D94D65" w14:textId="77777777" w:rsidR="00F675CF" w:rsidRPr="00F675CF" w:rsidRDefault="00F675CF" w:rsidP="00030C1C">
      <w:pPr>
        <w:pStyle w:val="VariableSeparador"/>
        <w:keepNext/>
      </w:pPr>
      <w:r w:rsidRPr="00F675CF">
        <w:lastRenderedPageBreak/>
        <w:t>Indicadores de clima educativo a nivel de la poblac</w:t>
      </w:r>
      <w:r w:rsidR="005A02E6">
        <w:t>ión</w:t>
      </w:r>
    </w:p>
    <w:p w14:paraId="0C7AEE44" w14:textId="77777777" w:rsidR="00F675CF" w:rsidRPr="00F675CF" w:rsidRDefault="00F675CF" w:rsidP="00306B33">
      <w:pPr>
        <w:pStyle w:val="Variables"/>
      </w:pPr>
      <w:r w:rsidRPr="00F675CF">
        <w:t>Niños de 3 y 4 años que no asisten a jardín</w:t>
      </w:r>
    </w:p>
    <w:p w14:paraId="6313609F" w14:textId="77777777" w:rsidR="00F675CF" w:rsidRPr="00F675CF" w:rsidRDefault="00F675CF" w:rsidP="00306B33">
      <w:pPr>
        <w:pStyle w:val="Variables"/>
      </w:pPr>
      <w:r w:rsidRPr="00F675CF">
        <w:t>Población de 5 a 12 que no asiste</w:t>
      </w:r>
    </w:p>
    <w:p w14:paraId="796E9D42" w14:textId="77777777" w:rsidR="00F675CF" w:rsidRPr="00F675CF" w:rsidRDefault="00F675CF" w:rsidP="00306B33">
      <w:pPr>
        <w:pStyle w:val="Variables"/>
      </w:pPr>
      <w:r w:rsidRPr="00F675CF">
        <w:t>Población de 13 a 18 que no asiste (sin secundaria completa)</w:t>
      </w:r>
    </w:p>
    <w:p w14:paraId="2393E397" w14:textId="77777777" w:rsidR="00F675CF" w:rsidRPr="00F675CF" w:rsidRDefault="00F675CF" w:rsidP="00306B33">
      <w:pPr>
        <w:pStyle w:val="Variables"/>
      </w:pPr>
      <w:r w:rsidRPr="00F675CF">
        <w:t>Población de 18 y más hasta primaria</w:t>
      </w:r>
    </w:p>
    <w:p w14:paraId="7B8EE002" w14:textId="77777777" w:rsidR="00F675CF" w:rsidRPr="00F675CF" w:rsidRDefault="00F675CF" w:rsidP="00306B33">
      <w:pPr>
        <w:pStyle w:val="Variables"/>
      </w:pPr>
      <w:r w:rsidRPr="00F675CF">
        <w:t>Población de 18 y más con primaria y secundario completo</w:t>
      </w:r>
    </w:p>
    <w:p w14:paraId="3334A9DC" w14:textId="77777777" w:rsidR="00F675CF" w:rsidRPr="00F675CF" w:rsidRDefault="00F675CF" w:rsidP="00306B33">
      <w:pPr>
        <w:pStyle w:val="Variables"/>
      </w:pPr>
      <w:r w:rsidRPr="00F675CF">
        <w:t>Población de 18 y más con secundario completo o terciario sin universitario completo</w:t>
      </w:r>
    </w:p>
    <w:p w14:paraId="06651D97" w14:textId="77777777" w:rsidR="00F675CF" w:rsidRPr="00F675CF" w:rsidRDefault="00F675CF" w:rsidP="00306B33">
      <w:pPr>
        <w:pStyle w:val="Variables"/>
      </w:pPr>
      <w:r w:rsidRPr="00F675CF">
        <w:t>Población con universitario completo o más</w:t>
      </w:r>
    </w:p>
    <w:p w14:paraId="702CD3F6" w14:textId="77777777" w:rsidR="00F675CF" w:rsidRPr="00F675CF" w:rsidRDefault="00F675CF" w:rsidP="00306B33">
      <w:pPr>
        <w:pStyle w:val="Variables"/>
      </w:pPr>
      <w:r w:rsidRPr="00F675CF">
        <w:t>Población de 18 a 29 sin secundaria completa que no asiste</w:t>
      </w:r>
    </w:p>
    <w:p w14:paraId="02CC87B8" w14:textId="77777777" w:rsidR="00F675CF" w:rsidRPr="00F675CF" w:rsidRDefault="00F675CF" w:rsidP="00306B33">
      <w:pPr>
        <w:pStyle w:val="Variables"/>
      </w:pPr>
      <w:r w:rsidRPr="00F675CF">
        <w:t>Población de 18 y más que usa computadora</w:t>
      </w:r>
    </w:p>
    <w:p w14:paraId="7B7F615A" w14:textId="77777777" w:rsidR="00F675CF" w:rsidRPr="00F675CF" w:rsidRDefault="00F675CF" w:rsidP="005A02E6">
      <w:pPr>
        <w:pStyle w:val="VariableSeparador"/>
      </w:pPr>
      <w:r w:rsidRPr="00F675CF">
        <w:t>Indicadores de actividad socio-ocupaciona</w:t>
      </w:r>
      <w:r w:rsidR="005A02E6">
        <w:t>l</w:t>
      </w:r>
    </w:p>
    <w:p w14:paraId="60C6ACC9" w14:textId="77777777" w:rsidR="00F675CF" w:rsidRPr="00F675CF" w:rsidRDefault="00F675CF" w:rsidP="00306B33">
      <w:pPr>
        <w:pStyle w:val="Variables"/>
      </w:pPr>
      <w:r w:rsidRPr="00F675CF">
        <w:t>Varones ocupados de 18 y más</w:t>
      </w:r>
    </w:p>
    <w:p w14:paraId="40DF8BF0" w14:textId="77777777" w:rsidR="00F675CF" w:rsidRPr="00F675CF" w:rsidRDefault="00F675CF" w:rsidP="00306B33">
      <w:pPr>
        <w:pStyle w:val="Variables"/>
      </w:pPr>
      <w:r w:rsidRPr="00F675CF">
        <w:t>Varones desocupados de 18 y más</w:t>
      </w:r>
    </w:p>
    <w:p w14:paraId="5B0845C3" w14:textId="77777777" w:rsidR="00F675CF" w:rsidRPr="00F675CF" w:rsidRDefault="00F675CF" w:rsidP="00306B33">
      <w:pPr>
        <w:pStyle w:val="Variables"/>
      </w:pPr>
      <w:r w:rsidRPr="00F675CF">
        <w:t>Varones inactivos de 18 y más</w:t>
      </w:r>
    </w:p>
    <w:p w14:paraId="67691FEE" w14:textId="77777777" w:rsidR="00F675CF" w:rsidRPr="00F675CF" w:rsidRDefault="00F675CF" w:rsidP="00306B33">
      <w:pPr>
        <w:pStyle w:val="Variables"/>
      </w:pPr>
      <w:r w:rsidRPr="00F675CF">
        <w:t>Mujeres ocupadas de 18 y más</w:t>
      </w:r>
    </w:p>
    <w:p w14:paraId="46FAE259" w14:textId="77777777" w:rsidR="00F675CF" w:rsidRPr="00F675CF" w:rsidRDefault="00F675CF" w:rsidP="00306B33">
      <w:pPr>
        <w:pStyle w:val="Variables"/>
      </w:pPr>
      <w:r w:rsidRPr="00F675CF">
        <w:t>Mujeres desocupadas de 18 y más</w:t>
      </w:r>
    </w:p>
    <w:p w14:paraId="21CA57F6" w14:textId="77777777" w:rsidR="00F675CF" w:rsidRPr="00F675CF" w:rsidRDefault="00F675CF" w:rsidP="00306B33">
      <w:pPr>
        <w:pStyle w:val="Variables"/>
      </w:pPr>
      <w:r w:rsidRPr="00F675CF">
        <w:t>Mujeres inactivas de 18 y más</w:t>
      </w:r>
    </w:p>
    <w:p w14:paraId="6A9D33DC" w14:textId="77777777" w:rsidR="00F675CF" w:rsidRPr="00F675CF" w:rsidRDefault="00F675CF" w:rsidP="00306B33">
      <w:pPr>
        <w:pStyle w:val="Variables"/>
      </w:pPr>
      <w:r w:rsidRPr="00F675CF">
        <w:t>Varones ocupados de 30 a 54 años</w:t>
      </w:r>
    </w:p>
    <w:p w14:paraId="2BDB614E" w14:textId="77777777" w:rsidR="00F675CF" w:rsidRPr="00F675CF" w:rsidRDefault="00F675CF" w:rsidP="00306B33">
      <w:pPr>
        <w:pStyle w:val="Variables"/>
      </w:pPr>
      <w:r w:rsidRPr="00F675CF">
        <w:t>Varones desocupados de 30 a 54 años</w:t>
      </w:r>
    </w:p>
    <w:p w14:paraId="1A30B3C5" w14:textId="77777777" w:rsidR="00F675CF" w:rsidRPr="00F675CF" w:rsidRDefault="00F675CF" w:rsidP="00306B33">
      <w:pPr>
        <w:pStyle w:val="Variables"/>
      </w:pPr>
      <w:r w:rsidRPr="00F675CF">
        <w:t>Varones inactivos de 30 a 54 años</w:t>
      </w:r>
    </w:p>
    <w:p w14:paraId="596D5C83" w14:textId="77777777" w:rsidR="00F675CF" w:rsidRPr="00F675CF" w:rsidRDefault="00F675CF" w:rsidP="00306B33">
      <w:pPr>
        <w:pStyle w:val="Variables"/>
      </w:pPr>
      <w:r w:rsidRPr="00F675CF">
        <w:t>Varones ocupados de 55 a 69 años</w:t>
      </w:r>
    </w:p>
    <w:p w14:paraId="53830686" w14:textId="77777777" w:rsidR="00F675CF" w:rsidRPr="00F675CF" w:rsidRDefault="00F675CF" w:rsidP="00306B33">
      <w:pPr>
        <w:pStyle w:val="Variables"/>
      </w:pPr>
      <w:r w:rsidRPr="00F675CF">
        <w:t>Varones desocupados de 55 a 69 años</w:t>
      </w:r>
    </w:p>
    <w:p w14:paraId="649E22F6" w14:textId="77777777" w:rsidR="00F675CF" w:rsidRPr="00F675CF" w:rsidRDefault="00F675CF" w:rsidP="00306B33">
      <w:pPr>
        <w:pStyle w:val="Variables"/>
      </w:pPr>
      <w:r w:rsidRPr="00F675CF">
        <w:t>Varones inactivos de 55 a 69 años</w:t>
      </w:r>
    </w:p>
    <w:p w14:paraId="21B020DE" w14:textId="77777777" w:rsidR="00F675CF" w:rsidRPr="00F675CF" w:rsidRDefault="00F675CF" w:rsidP="00306B33">
      <w:pPr>
        <w:pStyle w:val="Variables"/>
      </w:pPr>
      <w:r w:rsidRPr="00F675CF">
        <w:t>Varones ocupados de 70 y más</w:t>
      </w:r>
    </w:p>
    <w:p w14:paraId="7CE9B4E5" w14:textId="77777777" w:rsidR="00F675CF" w:rsidRPr="00F675CF" w:rsidRDefault="00F675CF" w:rsidP="00306B33">
      <w:pPr>
        <w:pStyle w:val="Variables"/>
      </w:pPr>
      <w:r w:rsidRPr="00F675CF">
        <w:t>Varones desocupados de 70 y más</w:t>
      </w:r>
    </w:p>
    <w:p w14:paraId="2CCDA3A3" w14:textId="77777777" w:rsidR="00F675CF" w:rsidRPr="00F675CF" w:rsidRDefault="00F675CF" w:rsidP="00306B33">
      <w:pPr>
        <w:pStyle w:val="Variables"/>
      </w:pPr>
      <w:r w:rsidRPr="00F675CF">
        <w:t>Varones inactivos de 70 y más</w:t>
      </w:r>
    </w:p>
    <w:p w14:paraId="680B7429" w14:textId="77777777" w:rsidR="00F675CF" w:rsidRPr="00F675CF" w:rsidRDefault="00F675CF" w:rsidP="00306B33">
      <w:pPr>
        <w:pStyle w:val="Variables"/>
      </w:pPr>
      <w:r w:rsidRPr="00F675CF">
        <w:t>Mujeres ocupadas de 30 a 54 años</w:t>
      </w:r>
    </w:p>
    <w:p w14:paraId="1A7441D5" w14:textId="77777777" w:rsidR="00F675CF" w:rsidRPr="00F675CF" w:rsidRDefault="00F675CF" w:rsidP="00306B33">
      <w:pPr>
        <w:pStyle w:val="Variables"/>
      </w:pPr>
      <w:r w:rsidRPr="00F675CF">
        <w:t>Mujeres desocupadas de 30 a 54 años</w:t>
      </w:r>
    </w:p>
    <w:p w14:paraId="790E424C" w14:textId="77777777" w:rsidR="00F675CF" w:rsidRPr="00F675CF" w:rsidRDefault="00F675CF" w:rsidP="00306B33">
      <w:pPr>
        <w:pStyle w:val="Variables"/>
      </w:pPr>
      <w:r w:rsidRPr="00F675CF">
        <w:t>Mujeres inactivas de 30 a 54 años</w:t>
      </w:r>
    </w:p>
    <w:p w14:paraId="3312471C" w14:textId="77777777" w:rsidR="00F675CF" w:rsidRPr="00F675CF" w:rsidRDefault="00F675CF" w:rsidP="00306B33">
      <w:pPr>
        <w:pStyle w:val="Variables"/>
      </w:pPr>
      <w:r w:rsidRPr="00F675CF">
        <w:t>Mujeres ocupadas de 55 a 69 años</w:t>
      </w:r>
    </w:p>
    <w:p w14:paraId="5F3ECD6B" w14:textId="77777777" w:rsidR="00F675CF" w:rsidRPr="00F675CF" w:rsidRDefault="00F675CF" w:rsidP="00306B33">
      <w:pPr>
        <w:pStyle w:val="Variables"/>
      </w:pPr>
      <w:r w:rsidRPr="00F675CF">
        <w:t>Mujeres desocupadas de 55 a 69 años</w:t>
      </w:r>
    </w:p>
    <w:p w14:paraId="075B7052" w14:textId="77777777" w:rsidR="00F675CF" w:rsidRPr="00F675CF" w:rsidRDefault="00F675CF" w:rsidP="00306B33">
      <w:pPr>
        <w:pStyle w:val="Variables"/>
      </w:pPr>
      <w:r w:rsidRPr="00F675CF">
        <w:t>Mujeres inactivas de 55 a 69 años</w:t>
      </w:r>
    </w:p>
    <w:p w14:paraId="59F0A339" w14:textId="77777777" w:rsidR="00F675CF" w:rsidRPr="00F675CF" w:rsidRDefault="00F675CF" w:rsidP="00306B33">
      <w:pPr>
        <w:pStyle w:val="Variables"/>
      </w:pPr>
      <w:r w:rsidRPr="00F675CF">
        <w:t>Mujeres ocupadas de 70 y más</w:t>
      </w:r>
    </w:p>
    <w:p w14:paraId="7FB2ACB3" w14:textId="77777777" w:rsidR="00F675CF" w:rsidRPr="00F675CF" w:rsidRDefault="00F675CF" w:rsidP="00306B33">
      <w:pPr>
        <w:pStyle w:val="Variables"/>
      </w:pPr>
      <w:r w:rsidRPr="00F675CF">
        <w:t>Mujeres desocupadas de 70 y más</w:t>
      </w:r>
    </w:p>
    <w:p w14:paraId="04985DEB" w14:textId="77777777" w:rsidR="00F675CF" w:rsidRPr="00F675CF" w:rsidRDefault="00F675CF" w:rsidP="00306B33">
      <w:pPr>
        <w:pStyle w:val="Variables"/>
      </w:pPr>
      <w:r w:rsidRPr="00F675CF">
        <w:t>Mujeres inactivas de 70 y más</w:t>
      </w:r>
    </w:p>
    <w:p w14:paraId="6457C2D5" w14:textId="77777777" w:rsidR="00F675CF" w:rsidRPr="00F675CF" w:rsidRDefault="00F675CF" w:rsidP="005A02E6">
      <w:pPr>
        <w:pStyle w:val="Variables"/>
        <w:numPr>
          <w:ilvl w:val="0"/>
          <w:numId w:val="0"/>
        </w:numPr>
      </w:pPr>
      <w:r w:rsidRPr="005A02E6">
        <w:rPr>
          <w:b/>
          <w:sz w:val="20"/>
          <w:szCs w:val="20"/>
        </w:rPr>
        <w:t>Indicadores educativos y socio-ocupaciones en jóvenes de 18 a 29 años</w:t>
      </w:r>
    </w:p>
    <w:p w14:paraId="15DA43A4" w14:textId="77777777" w:rsidR="00F675CF" w:rsidRPr="00F675CF" w:rsidRDefault="00F675CF" w:rsidP="00306B33">
      <w:pPr>
        <w:pStyle w:val="Variables"/>
      </w:pPr>
      <w:r w:rsidRPr="00F675CF">
        <w:t>Varones ocupados de 18 a 29 años</w:t>
      </w:r>
    </w:p>
    <w:p w14:paraId="7161B162" w14:textId="77777777" w:rsidR="00F675CF" w:rsidRPr="00F675CF" w:rsidRDefault="00F675CF" w:rsidP="00306B33">
      <w:pPr>
        <w:pStyle w:val="Variables"/>
      </w:pPr>
      <w:r w:rsidRPr="00F675CF">
        <w:t>Varones desocupados de 18 a 29 años</w:t>
      </w:r>
    </w:p>
    <w:p w14:paraId="4BDEEF64" w14:textId="77777777" w:rsidR="00F675CF" w:rsidRPr="00F675CF" w:rsidRDefault="00F675CF" w:rsidP="00306B33">
      <w:pPr>
        <w:pStyle w:val="Variables"/>
      </w:pPr>
      <w:r w:rsidRPr="00F675CF">
        <w:t>Varones inactivos de 18 a 29 años</w:t>
      </w:r>
    </w:p>
    <w:p w14:paraId="4292B3A8" w14:textId="77777777" w:rsidR="00F675CF" w:rsidRPr="00F675CF" w:rsidRDefault="00F675CF" w:rsidP="00306B33">
      <w:pPr>
        <w:pStyle w:val="Variables"/>
      </w:pPr>
      <w:r w:rsidRPr="00F675CF">
        <w:t>Mujeres ocupadas de 18 a 29 años</w:t>
      </w:r>
    </w:p>
    <w:p w14:paraId="11031631" w14:textId="77777777" w:rsidR="00F675CF" w:rsidRPr="00F675CF" w:rsidRDefault="00F675CF" w:rsidP="00306B33">
      <w:pPr>
        <w:pStyle w:val="Variables"/>
      </w:pPr>
      <w:r w:rsidRPr="00F675CF">
        <w:t>Mujeres desocupadas de 18 a 29 años</w:t>
      </w:r>
    </w:p>
    <w:p w14:paraId="3E770754" w14:textId="77777777" w:rsidR="00F675CF" w:rsidRPr="00F675CF" w:rsidRDefault="00F675CF" w:rsidP="00306B33">
      <w:pPr>
        <w:pStyle w:val="Variables"/>
      </w:pPr>
      <w:r w:rsidRPr="00F675CF">
        <w:t>Mujeres inactivas de 18 a 29 años</w:t>
      </w:r>
    </w:p>
    <w:p w14:paraId="7760FDD3" w14:textId="77777777" w:rsidR="00F675CF" w:rsidRPr="00F675CF" w:rsidRDefault="00F675CF" w:rsidP="00306B33">
      <w:pPr>
        <w:pStyle w:val="Variables"/>
      </w:pPr>
      <w:r w:rsidRPr="00F675CF">
        <w:t>Población de 18 a 29 que no estudia ni trabaja</w:t>
      </w:r>
    </w:p>
    <w:p w14:paraId="5EF67F76" w14:textId="77777777" w:rsidR="00F675CF" w:rsidRPr="00F675CF" w:rsidRDefault="00F675CF" w:rsidP="00306B33">
      <w:pPr>
        <w:pStyle w:val="Variables"/>
      </w:pPr>
      <w:r w:rsidRPr="00F675CF">
        <w:t>Varones de 18 a 29 que no estudian ni trabajan</w:t>
      </w:r>
    </w:p>
    <w:p w14:paraId="3184BCCB" w14:textId="77777777" w:rsidR="00F675CF" w:rsidRPr="00F675CF" w:rsidRDefault="00F675CF" w:rsidP="00306B33">
      <w:pPr>
        <w:pStyle w:val="Variables"/>
      </w:pPr>
      <w:r w:rsidRPr="00F675CF">
        <w:t>Mujeres de 18 a 29 que no estudian ni trabajan</w:t>
      </w:r>
    </w:p>
    <w:p w14:paraId="4C4B72F0" w14:textId="77777777" w:rsidR="00F675CF" w:rsidRPr="00F675CF" w:rsidRDefault="00F675CF" w:rsidP="00306B33">
      <w:pPr>
        <w:pStyle w:val="Variables"/>
      </w:pPr>
      <w:r w:rsidRPr="00F675CF">
        <w:t>Población de 18 a 29 sin secundaria completa que no asiste</w:t>
      </w:r>
    </w:p>
    <w:p w14:paraId="05854E10" w14:textId="77777777" w:rsidR="00DE4464" w:rsidRPr="00F675CF" w:rsidRDefault="00F675CF" w:rsidP="00306B33">
      <w:pPr>
        <w:pStyle w:val="Variables"/>
      </w:pPr>
      <w:r w:rsidRPr="00F675CF">
        <w:t>Población de 18 a 29 años que utiliza computadora</w:t>
      </w:r>
    </w:p>
    <w:p w14:paraId="66106C5D" w14:textId="77777777" w:rsidR="00F675CF" w:rsidRDefault="00F675CF" w:rsidP="00D454F6">
      <w:pPr>
        <w:jc w:val="both"/>
        <w:rPr>
          <w:lang w:val="es-AR"/>
        </w:rPr>
        <w:sectPr w:rsidR="00F675CF" w:rsidSect="00306B33">
          <w:type w:val="continuous"/>
          <w:pgSz w:w="12240" w:h="15840"/>
          <w:pgMar w:top="1440" w:right="1440" w:bottom="1440" w:left="1440" w:header="708" w:footer="708" w:gutter="0"/>
          <w:cols w:num="2" w:space="48"/>
          <w:docGrid w:linePitch="360"/>
        </w:sectPr>
      </w:pPr>
    </w:p>
    <w:p w14:paraId="1F1A209A" w14:textId="77777777" w:rsidR="00306B33" w:rsidRDefault="00306B33" w:rsidP="00306B33">
      <w:pPr>
        <w:pBdr>
          <w:top w:val="single" w:sz="4" w:space="1" w:color="auto"/>
        </w:pBdr>
        <w:jc w:val="both"/>
        <w:rPr>
          <w:lang w:val="es-AR"/>
        </w:rPr>
      </w:pPr>
    </w:p>
    <w:p w14:paraId="48616E3D" w14:textId="77777777" w:rsidR="00D454F6" w:rsidRDefault="00D454F6" w:rsidP="00D454F6">
      <w:pPr>
        <w:jc w:val="both"/>
        <w:rPr>
          <w:lang w:val="es-AR"/>
        </w:rPr>
      </w:pPr>
      <w:r>
        <w:rPr>
          <w:lang w:val="es-AR"/>
        </w:rPr>
        <w:t xml:space="preserve">Adicionalmente, se disponen de variables para caracterizar al radio, como su ubicación georreferenciada (latitud y longitud), su </w:t>
      </w:r>
      <w:r w:rsidR="00306B33">
        <w:rPr>
          <w:lang w:val="es-AR"/>
        </w:rPr>
        <w:t xml:space="preserve">área en km2, la cantidad de hogares y personas, entre otras. </w:t>
      </w:r>
      <w:r>
        <w:rPr>
          <w:lang w:val="es-AR"/>
        </w:rPr>
        <w:t xml:space="preserve">En el anexo ‘Variables’ de este documento </w:t>
      </w:r>
      <w:r w:rsidR="005A02E6">
        <w:rPr>
          <w:lang w:val="es-AR"/>
        </w:rPr>
        <w:t xml:space="preserve">se presenta la </w:t>
      </w:r>
      <w:r>
        <w:rPr>
          <w:lang w:val="es-AR"/>
        </w:rPr>
        <w:t>una lista completa de variables disponibles.</w:t>
      </w:r>
    </w:p>
    <w:p w14:paraId="5CCF0023" w14:textId="77777777" w:rsidR="00D454F6" w:rsidRDefault="00306B33" w:rsidP="00DD7BA0">
      <w:pPr>
        <w:pStyle w:val="Heading3"/>
      </w:pPr>
      <w:r>
        <w:t xml:space="preserve">Ponderación y variables de </w:t>
      </w:r>
      <w:r w:rsidR="00F22243">
        <w:t>proporciones (</w:t>
      </w:r>
      <w:r>
        <w:t>%</w:t>
      </w:r>
      <w:r w:rsidR="00F22243">
        <w:t>)</w:t>
      </w:r>
    </w:p>
    <w:p w14:paraId="0C4520B9" w14:textId="77777777" w:rsidR="00306B33" w:rsidRDefault="00306B33" w:rsidP="00D454F6">
      <w:pPr>
        <w:jc w:val="both"/>
        <w:rPr>
          <w:lang w:val="es-AR"/>
        </w:rPr>
      </w:pPr>
      <w:r>
        <w:rPr>
          <w:lang w:val="es-AR"/>
        </w:rPr>
        <w:t xml:space="preserve">Las variables con el prefijo “por_” </w:t>
      </w:r>
      <w:r w:rsidR="005A02E6">
        <w:rPr>
          <w:lang w:val="es-AR"/>
        </w:rPr>
        <w:t>ofrecen</w:t>
      </w:r>
      <w:r>
        <w:rPr>
          <w:lang w:val="es-AR"/>
        </w:rPr>
        <w:t xml:space="preserve"> porcentajes en el radio de los indicadores disponibles. Estas variables, para poder utilizarse a nivel agregado, precisan que la base se encuentre ponderada en función del conteo sobre el que opera el porcentaje seleccionado. El ponderador adecuado coincide en el prefijo con la variable y contiene la palabra ‘total’ a continuación. Ejemplos de variables a utilizar como ponderadores son </w:t>
      </w:r>
      <w:proofErr w:type="spellStart"/>
      <w:r>
        <w:rPr>
          <w:lang w:val="es-AR"/>
        </w:rPr>
        <w:t>h_total</w:t>
      </w:r>
      <w:proofErr w:type="spellEnd"/>
      <w:r>
        <w:rPr>
          <w:lang w:val="es-AR"/>
        </w:rPr>
        <w:t xml:space="preserve">, </w:t>
      </w:r>
      <w:proofErr w:type="spellStart"/>
      <w:r>
        <w:rPr>
          <w:lang w:val="es-AR"/>
        </w:rPr>
        <w:t>p_total</w:t>
      </w:r>
      <w:proofErr w:type="spellEnd"/>
      <w:r>
        <w:rPr>
          <w:lang w:val="es-AR"/>
        </w:rPr>
        <w:t>, m18_total, p0304_total.</w:t>
      </w:r>
    </w:p>
    <w:p w14:paraId="53052329" w14:textId="77777777" w:rsidR="00306B33" w:rsidRDefault="00306B33" w:rsidP="00D454F6">
      <w:pPr>
        <w:jc w:val="both"/>
        <w:rPr>
          <w:lang w:val="es-AR"/>
        </w:rPr>
      </w:pPr>
      <w:r>
        <w:rPr>
          <w:lang w:val="es-AR"/>
        </w:rPr>
        <w:t xml:space="preserve">Si por ejemplo se quisiera calcular el % de hogares con celular, </w:t>
      </w:r>
      <w:r w:rsidR="00F36FB3">
        <w:rPr>
          <w:lang w:val="es-AR"/>
        </w:rPr>
        <w:t>se utilizará la variable</w:t>
      </w:r>
      <w:r>
        <w:rPr>
          <w:lang w:val="es-AR"/>
        </w:rPr>
        <w:t>:</w:t>
      </w:r>
    </w:p>
    <w:p w14:paraId="0722C074" w14:textId="77777777" w:rsidR="00306B33" w:rsidRDefault="00306B33" w:rsidP="00306B33">
      <w:pPr>
        <w:pStyle w:val="ListParagraph"/>
        <w:numPr>
          <w:ilvl w:val="0"/>
          <w:numId w:val="6"/>
        </w:numPr>
        <w:jc w:val="both"/>
        <w:rPr>
          <w:lang w:val="es-AR"/>
        </w:rPr>
      </w:pPr>
      <w:proofErr w:type="spellStart"/>
      <w:r>
        <w:rPr>
          <w:lang w:val="es-AR"/>
        </w:rPr>
        <w:t>por_</w:t>
      </w:r>
      <w:r w:rsidRPr="00306B33">
        <w:rPr>
          <w:b/>
          <w:lang w:val="es-AR"/>
        </w:rPr>
        <w:t>h_</w:t>
      </w:r>
      <w:r>
        <w:rPr>
          <w:lang w:val="es-AR"/>
        </w:rPr>
        <w:t>celular</w:t>
      </w:r>
      <w:proofErr w:type="spellEnd"/>
      <w:r>
        <w:rPr>
          <w:lang w:val="es-AR"/>
        </w:rPr>
        <w:t xml:space="preserve"> </w:t>
      </w:r>
    </w:p>
    <w:p w14:paraId="5B3DCC79" w14:textId="77777777" w:rsidR="00D454F6" w:rsidRPr="00D454F6" w:rsidRDefault="00306B33" w:rsidP="00D454F6">
      <w:pPr>
        <w:jc w:val="both"/>
        <w:rPr>
          <w:lang w:val="es-AR"/>
        </w:rPr>
      </w:pPr>
      <w:r>
        <w:rPr>
          <w:lang w:val="es-AR"/>
        </w:rPr>
        <w:t xml:space="preserve">Debido a que se trata de una variable cuyo total opera sobre hogares, para el uso agregado se deberá indicar la variable </w:t>
      </w:r>
      <w:proofErr w:type="spellStart"/>
      <w:r w:rsidRPr="00306B33">
        <w:rPr>
          <w:b/>
          <w:lang w:val="es-AR"/>
        </w:rPr>
        <w:t>h_</w:t>
      </w:r>
      <w:r>
        <w:rPr>
          <w:lang w:val="es-AR"/>
        </w:rPr>
        <w:t>total</w:t>
      </w:r>
      <w:proofErr w:type="spellEnd"/>
      <w:r>
        <w:rPr>
          <w:lang w:val="es-AR"/>
        </w:rPr>
        <w:t xml:space="preserve">. De igual modo, </w:t>
      </w:r>
      <w:r w:rsidR="00D454F6">
        <w:rPr>
          <w:lang w:val="es-AR"/>
        </w:rPr>
        <w:t>la variable “</w:t>
      </w:r>
      <w:proofErr w:type="spellStart"/>
      <w:r w:rsidR="00D454F6">
        <w:rPr>
          <w:lang w:val="es-AR"/>
        </w:rPr>
        <w:t>por_</w:t>
      </w:r>
      <w:r w:rsidR="00D454F6" w:rsidRPr="00D454F6">
        <w:rPr>
          <w:b/>
          <w:lang w:val="es-AR"/>
        </w:rPr>
        <w:t>p</w:t>
      </w:r>
      <w:r w:rsidR="00D454F6">
        <w:rPr>
          <w:lang w:val="es-AR"/>
        </w:rPr>
        <w:t>_ninios</w:t>
      </w:r>
      <w:proofErr w:type="spellEnd"/>
      <w:r w:rsidR="00D454F6">
        <w:rPr>
          <w:lang w:val="es-AR"/>
        </w:rPr>
        <w:t xml:space="preserve">” (proporción de niños sobre la población total) debe ser analizada utilizando el ponderador </w:t>
      </w:r>
      <w:proofErr w:type="spellStart"/>
      <w:r w:rsidR="00D454F6" w:rsidRPr="00D454F6">
        <w:rPr>
          <w:b/>
          <w:lang w:val="es-AR"/>
        </w:rPr>
        <w:t>p</w:t>
      </w:r>
      <w:r w:rsidR="00D454F6">
        <w:rPr>
          <w:lang w:val="es-AR"/>
        </w:rPr>
        <w:t>_</w:t>
      </w:r>
      <w:r w:rsidR="00F36FB3">
        <w:rPr>
          <w:lang w:val="es-AR"/>
        </w:rPr>
        <w:t>total</w:t>
      </w:r>
      <w:proofErr w:type="spellEnd"/>
      <w:r w:rsidR="00D454F6">
        <w:rPr>
          <w:lang w:val="es-AR"/>
        </w:rPr>
        <w:t xml:space="preserve">. </w:t>
      </w:r>
    </w:p>
    <w:sectPr w:rsidR="00D454F6" w:rsidRPr="00D454F6" w:rsidSect="00F675C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B515" w14:textId="77777777" w:rsidR="000A1074" w:rsidRDefault="000A1074" w:rsidP="00E12EEE">
      <w:pPr>
        <w:spacing w:after="0" w:line="240" w:lineRule="auto"/>
      </w:pPr>
      <w:r>
        <w:separator/>
      </w:r>
    </w:p>
  </w:endnote>
  <w:endnote w:type="continuationSeparator" w:id="0">
    <w:p w14:paraId="3CC8AD87" w14:textId="77777777" w:rsidR="000A1074" w:rsidRDefault="000A1074" w:rsidP="00E1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9987"/>
      <w:docPartObj>
        <w:docPartGallery w:val="Page Numbers (Bottom of Page)"/>
        <w:docPartUnique/>
      </w:docPartObj>
    </w:sdtPr>
    <w:sdtContent>
      <w:p w14:paraId="754E671F" w14:textId="77777777" w:rsidR="001F17B6" w:rsidRPr="00A43D32" w:rsidRDefault="007427F3" w:rsidP="00A43D32">
        <w:pPr>
          <w:pStyle w:val="Footer"/>
          <w:jc w:val="center"/>
        </w:pPr>
        <w:r>
          <w:fldChar w:fldCharType="begin"/>
        </w:r>
        <w:r>
          <w:instrText xml:space="preserve"> PAGE   \* MERGEFORMAT </w:instrText>
        </w:r>
        <w:r>
          <w:fldChar w:fldCharType="separate"/>
        </w:r>
        <w:r w:rsidR="006335A9">
          <w:rPr>
            <w:noProof/>
          </w:rPr>
          <w:t>5</w:t>
        </w:r>
        <w:r>
          <w:rPr>
            <w:noProof/>
          </w:rPr>
          <w:fldChar w:fldCharType="end"/>
        </w:r>
      </w:p>
    </w:sdtContent>
  </w:sdt>
  <w:p w14:paraId="5BD7042D" w14:textId="77777777" w:rsidR="001F17B6" w:rsidRPr="00A43D32" w:rsidRDefault="001F17B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5824" w14:textId="77777777" w:rsidR="000A1074" w:rsidRDefault="000A1074" w:rsidP="00E12EEE">
      <w:pPr>
        <w:spacing w:after="0" w:line="240" w:lineRule="auto"/>
      </w:pPr>
      <w:r>
        <w:separator/>
      </w:r>
    </w:p>
  </w:footnote>
  <w:footnote w:type="continuationSeparator" w:id="0">
    <w:p w14:paraId="19F07342" w14:textId="77777777" w:rsidR="000A1074" w:rsidRDefault="000A1074" w:rsidP="00E12EEE">
      <w:pPr>
        <w:spacing w:after="0" w:line="240" w:lineRule="auto"/>
      </w:pPr>
      <w:r>
        <w:continuationSeparator/>
      </w:r>
    </w:p>
  </w:footnote>
  <w:footnote w:id="1">
    <w:p w14:paraId="1DB58E90" w14:textId="77777777" w:rsidR="001F17B6" w:rsidRPr="00E12EEE" w:rsidRDefault="001F17B6">
      <w:pPr>
        <w:pStyle w:val="FootnoteText"/>
        <w:rPr>
          <w:lang w:val="es-AR"/>
        </w:rPr>
      </w:pPr>
      <w:r>
        <w:rPr>
          <w:rStyle w:val="FootnoteReference"/>
        </w:rPr>
        <w:footnoteRef/>
      </w:r>
      <w:r w:rsidRPr="00E12EEE">
        <w:rPr>
          <w:lang w:val="es-AR"/>
        </w:rPr>
        <w:t xml:space="preserve"> Para </w:t>
      </w:r>
      <w:r>
        <w:rPr>
          <w:lang w:val="es-AR"/>
        </w:rPr>
        <w:t xml:space="preserve">más </w:t>
      </w:r>
      <w:r w:rsidRPr="00E12EEE">
        <w:rPr>
          <w:lang w:val="es-AR"/>
        </w:rPr>
        <w:t xml:space="preserve">detalles sobre la definición de </w:t>
      </w:r>
      <w:r>
        <w:rPr>
          <w:lang w:val="es-AR"/>
        </w:rPr>
        <w:t>las variables censales utilizadas</w:t>
      </w:r>
      <w:r w:rsidRPr="00E12EEE">
        <w:rPr>
          <w:lang w:val="es-AR"/>
        </w:rPr>
        <w:t>, consultar la documentación adjunta Definición indicadores Censo 2010.pdf.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128"/>
    <w:multiLevelType w:val="hybridMultilevel"/>
    <w:tmpl w:val="5F70B754"/>
    <w:lvl w:ilvl="0" w:tplc="EDD00C0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0C4A74"/>
    <w:multiLevelType w:val="hybridMultilevel"/>
    <w:tmpl w:val="043AA262"/>
    <w:lvl w:ilvl="0" w:tplc="9D44E6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E25BD"/>
    <w:multiLevelType w:val="hybridMultilevel"/>
    <w:tmpl w:val="2C68153A"/>
    <w:lvl w:ilvl="0" w:tplc="ACBAF64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5537EC"/>
    <w:multiLevelType w:val="hybridMultilevel"/>
    <w:tmpl w:val="1380751E"/>
    <w:lvl w:ilvl="0" w:tplc="60FC230C">
      <w:start w:val="1"/>
      <w:numFmt w:val="bullet"/>
      <w:pStyle w:val="Variabl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B5A98"/>
    <w:multiLevelType w:val="hybridMultilevel"/>
    <w:tmpl w:val="09183928"/>
    <w:lvl w:ilvl="0" w:tplc="EDD00C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92637"/>
    <w:multiLevelType w:val="hybridMultilevel"/>
    <w:tmpl w:val="7AA47C52"/>
    <w:lvl w:ilvl="0" w:tplc="FA8A166C">
      <w:start w:val="20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1130C"/>
    <w:multiLevelType w:val="hybridMultilevel"/>
    <w:tmpl w:val="F77C14B6"/>
    <w:lvl w:ilvl="0" w:tplc="CBB8E91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5782720">
    <w:abstractNumId w:val="1"/>
  </w:num>
  <w:num w:numId="2" w16cid:durableId="830566368">
    <w:abstractNumId w:val="4"/>
  </w:num>
  <w:num w:numId="3" w16cid:durableId="153499565">
    <w:abstractNumId w:val="2"/>
  </w:num>
  <w:num w:numId="4" w16cid:durableId="1024600133">
    <w:abstractNumId w:val="0"/>
  </w:num>
  <w:num w:numId="5" w16cid:durableId="602228247">
    <w:abstractNumId w:val="3"/>
  </w:num>
  <w:num w:numId="6" w16cid:durableId="557401525">
    <w:abstractNumId w:val="5"/>
  </w:num>
  <w:num w:numId="7" w16cid:durableId="900484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E2"/>
    <w:rsid w:val="00000FED"/>
    <w:rsid w:val="00016AA4"/>
    <w:rsid w:val="00016B22"/>
    <w:rsid w:val="00030C1C"/>
    <w:rsid w:val="00051331"/>
    <w:rsid w:val="00081966"/>
    <w:rsid w:val="000865FD"/>
    <w:rsid w:val="00096F84"/>
    <w:rsid w:val="000A1074"/>
    <w:rsid w:val="000C075B"/>
    <w:rsid w:val="000C2952"/>
    <w:rsid w:val="00105F30"/>
    <w:rsid w:val="00113875"/>
    <w:rsid w:val="00124882"/>
    <w:rsid w:val="001F17B6"/>
    <w:rsid w:val="00210ED3"/>
    <w:rsid w:val="002202BF"/>
    <w:rsid w:val="00224310"/>
    <w:rsid w:val="002478EF"/>
    <w:rsid w:val="0025416C"/>
    <w:rsid w:val="00270F90"/>
    <w:rsid w:val="002D477E"/>
    <w:rsid w:val="002D6782"/>
    <w:rsid w:val="002E6F82"/>
    <w:rsid w:val="00303D39"/>
    <w:rsid w:val="00306B33"/>
    <w:rsid w:val="00336DD7"/>
    <w:rsid w:val="003E45FB"/>
    <w:rsid w:val="003F3900"/>
    <w:rsid w:val="00437D5B"/>
    <w:rsid w:val="00466AC3"/>
    <w:rsid w:val="00477BED"/>
    <w:rsid w:val="00490908"/>
    <w:rsid w:val="004A7CC5"/>
    <w:rsid w:val="004D3BC7"/>
    <w:rsid w:val="004E63FC"/>
    <w:rsid w:val="00505CF2"/>
    <w:rsid w:val="005A02E6"/>
    <w:rsid w:val="0061189A"/>
    <w:rsid w:val="006335A9"/>
    <w:rsid w:val="00654853"/>
    <w:rsid w:val="006A40CB"/>
    <w:rsid w:val="006C295A"/>
    <w:rsid w:val="007427F3"/>
    <w:rsid w:val="00797660"/>
    <w:rsid w:val="00797DC8"/>
    <w:rsid w:val="007A13D0"/>
    <w:rsid w:val="007E75AE"/>
    <w:rsid w:val="00811B01"/>
    <w:rsid w:val="00861681"/>
    <w:rsid w:val="00862A26"/>
    <w:rsid w:val="00867EE0"/>
    <w:rsid w:val="00884004"/>
    <w:rsid w:val="008954CA"/>
    <w:rsid w:val="008A0C6F"/>
    <w:rsid w:val="008A1231"/>
    <w:rsid w:val="008A7709"/>
    <w:rsid w:val="008A7F83"/>
    <w:rsid w:val="008C3342"/>
    <w:rsid w:val="00901380"/>
    <w:rsid w:val="009103B5"/>
    <w:rsid w:val="009302EC"/>
    <w:rsid w:val="00943FF9"/>
    <w:rsid w:val="009579A8"/>
    <w:rsid w:val="00994178"/>
    <w:rsid w:val="009951A2"/>
    <w:rsid w:val="009967C1"/>
    <w:rsid w:val="009B6AC0"/>
    <w:rsid w:val="009F4AE1"/>
    <w:rsid w:val="009F567F"/>
    <w:rsid w:val="00A171AB"/>
    <w:rsid w:val="00A27FE2"/>
    <w:rsid w:val="00A4337C"/>
    <w:rsid w:val="00A43D32"/>
    <w:rsid w:val="00A47BFF"/>
    <w:rsid w:val="00A51871"/>
    <w:rsid w:val="00AA3C57"/>
    <w:rsid w:val="00AC4873"/>
    <w:rsid w:val="00B054CD"/>
    <w:rsid w:val="00B05D02"/>
    <w:rsid w:val="00B16357"/>
    <w:rsid w:val="00B26EA0"/>
    <w:rsid w:val="00B835B8"/>
    <w:rsid w:val="00B93062"/>
    <w:rsid w:val="00BA2444"/>
    <w:rsid w:val="00BA4C71"/>
    <w:rsid w:val="00BB18CD"/>
    <w:rsid w:val="00BE3266"/>
    <w:rsid w:val="00BE33FE"/>
    <w:rsid w:val="00BF21FF"/>
    <w:rsid w:val="00C3680F"/>
    <w:rsid w:val="00C418CC"/>
    <w:rsid w:val="00C73650"/>
    <w:rsid w:val="00CB2335"/>
    <w:rsid w:val="00CD332E"/>
    <w:rsid w:val="00CF6F23"/>
    <w:rsid w:val="00D013B4"/>
    <w:rsid w:val="00D1604D"/>
    <w:rsid w:val="00D42158"/>
    <w:rsid w:val="00D454F6"/>
    <w:rsid w:val="00D552D3"/>
    <w:rsid w:val="00D56435"/>
    <w:rsid w:val="00D8457F"/>
    <w:rsid w:val="00D86F64"/>
    <w:rsid w:val="00D904B5"/>
    <w:rsid w:val="00DD2A68"/>
    <w:rsid w:val="00DD7BA0"/>
    <w:rsid w:val="00DE4464"/>
    <w:rsid w:val="00E12EEE"/>
    <w:rsid w:val="00E85996"/>
    <w:rsid w:val="00EA60EF"/>
    <w:rsid w:val="00EE0D8A"/>
    <w:rsid w:val="00EE3EDC"/>
    <w:rsid w:val="00EF7B12"/>
    <w:rsid w:val="00F008C2"/>
    <w:rsid w:val="00F11B8D"/>
    <w:rsid w:val="00F22243"/>
    <w:rsid w:val="00F36FB3"/>
    <w:rsid w:val="00F533E2"/>
    <w:rsid w:val="00F675CF"/>
    <w:rsid w:val="00F81F21"/>
    <w:rsid w:val="00FD25D4"/>
    <w:rsid w:val="00FE7CD2"/>
    <w:rsid w:val="00FF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38EE"/>
  <w15:docId w15:val="{FD3473AF-2AE4-47FD-AF66-966E747D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66"/>
  </w:style>
  <w:style w:type="paragraph" w:styleId="Heading1">
    <w:name w:val="heading 1"/>
    <w:basedOn w:val="Normal"/>
    <w:next w:val="Normal"/>
    <w:link w:val="Heading1Char"/>
    <w:uiPriority w:val="9"/>
    <w:qFormat/>
    <w:rsid w:val="00F22243"/>
    <w:pPr>
      <w:jc w:val="center"/>
      <w:outlineLvl w:val="0"/>
    </w:pPr>
    <w:rPr>
      <w:b/>
      <w:sz w:val="48"/>
      <w:szCs w:val="48"/>
      <w:lang w:val="es-AR"/>
    </w:rPr>
  </w:style>
  <w:style w:type="paragraph" w:styleId="Heading2">
    <w:name w:val="heading 2"/>
    <w:basedOn w:val="Normal"/>
    <w:next w:val="Normal"/>
    <w:link w:val="Heading2Char"/>
    <w:uiPriority w:val="9"/>
    <w:unhideWhenUsed/>
    <w:qFormat/>
    <w:rsid w:val="00DD7BA0"/>
    <w:pPr>
      <w:keepNext/>
      <w:numPr>
        <w:numId w:val="7"/>
      </w:numPr>
      <w:ind w:left="357" w:hanging="357"/>
      <w:jc w:val="both"/>
      <w:outlineLvl w:val="1"/>
    </w:pPr>
    <w:rPr>
      <w:b/>
      <w:sz w:val="36"/>
      <w:szCs w:val="36"/>
      <w:lang w:val="es-AR"/>
    </w:rPr>
  </w:style>
  <w:style w:type="paragraph" w:styleId="Heading3">
    <w:name w:val="heading 3"/>
    <w:basedOn w:val="Heading2"/>
    <w:next w:val="Normal"/>
    <w:link w:val="Heading3Char"/>
    <w:uiPriority w:val="9"/>
    <w:unhideWhenUsed/>
    <w:qFormat/>
    <w:rsid w:val="00F22243"/>
    <w:pPr>
      <w:numPr>
        <w:numId w:val="0"/>
      </w:num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C2"/>
    <w:pPr>
      <w:ind w:left="720"/>
      <w:contextualSpacing/>
    </w:pPr>
  </w:style>
  <w:style w:type="paragraph" w:styleId="FootnoteText">
    <w:name w:val="footnote text"/>
    <w:basedOn w:val="Normal"/>
    <w:link w:val="FootnoteTextChar"/>
    <w:uiPriority w:val="99"/>
    <w:semiHidden/>
    <w:unhideWhenUsed/>
    <w:rsid w:val="00E12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EEE"/>
    <w:rPr>
      <w:sz w:val="20"/>
      <w:szCs w:val="20"/>
    </w:rPr>
  </w:style>
  <w:style w:type="character" w:styleId="FootnoteReference">
    <w:name w:val="footnote reference"/>
    <w:basedOn w:val="DefaultParagraphFont"/>
    <w:uiPriority w:val="99"/>
    <w:semiHidden/>
    <w:unhideWhenUsed/>
    <w:rsid w:val="00E12EEE"/>
    <w:rPr>
      <w:vertAlign w:val="superscript"/>
    </w:rPr>
  </w:style>
  <w:style w:type="character" w:styleId="Hyperlink">
    <w:name w:val="Hyperlink"/>
    <w:basedOn w:val="DefaultParagraphFont"/>
    <w:uiPriority w:val="99"/>
    <w:unhideWhenUsed/>
    <w:rsid w:val="00051331"/>
    <w:rPr>
      <w:color w:val="0000FF" w:themeColor="hyperlink"/>
      <w:u w:val="single"/>
    </w:rPr>
  </w:style>
  <w:style w:type="paragraph" w:styleId="Header">
    <w:name w:val="header"/>
    <w:basedOn w:val="Normal"/>
    <w:link w:val="HeaderChar"/>
    <w:uiPriority w:val="99"/>
    <w:semiHidden/>
    <w:unhideWhenUsed/>
    <w:rsid w:val="00A43D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3D32"/>
  </w:style>
  <w:style w:type="paragraph" w:styleId="Footer">
    <w:name w:val="footer"/>
    <w:basedOn w:val="Normal"/>
    <w:link w:val="FooterChar"/>
    <w:uiPriority w:val="99"/>
    <w:unhideWhenUsed/>
    <w:rsid w:val="00A4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32"/>
  </w:style>
  <w:style w:type="paragraph" w:customStyle="1" w:styleId="Variables">
    <w:name w:val="Variables"/>
    <w:basedOn w:val="ListParagraph"/>
    <w:qFormat/>
    <w:rsid w:val="00306B33"/>
    <w:pPr>
      <w:numPr>
        <w:numId w:val="5"/>
      </w:numPr>
      <w:tabs>
        <w:tab w:val="left" w:pos="168"/>
      </w:tabs>
      <w:ind w:left="0" w:firstLine="28"/>
      <w:jc w:val="both"/>
    </w:pPr>
    <w:rPr>
      <w:sz w:val="18"/>
      <w:szCs w:val="18"/>
      <w:lang w:val="es-AR"/>
    </w:rPr>
  </w:style>
  <w:style w:type="paragraph" w:customStyle="1" w:styleId="VariableSeparador">
    <w:name w:val="Variable Separador"/>
    <w:basedOn w:val="Variables"/>
    <w:qFormat/>
    <w:rsid w:val="00030C1C"/>
    <w:pPr>
      <w:numPr>
        <w:numId w:val="0"/>
      </w:numPr>
      <w:spacing w:after="120"/>
    </w:pPr>
    <w:rPr>
      <w:b/>
      <w:sz w:val="20"/>
      <w:szCs w:val="20"/>
    </w:rPr>
  </w:style>
  <w:style w:type="character" w:customStyle="1" w:styleId="Heading2Char">
    <w:name w:val="Heading 2 Char"/>
    <w:basedOn w:val="DefaultParagraphFont"/>
    <w:link w:val="Heading2"/>
    <w:uiPriority w:val="9"/>
    <w:rsid w:val="00DD7BA0"/>
    <w:rPr>
      <w:b/>
      <w:sz w:val="36"/>
      <w:szCs w:val="36"/>
      <w:lang w:val="es-AR"/>
    </w:rPr>
  </w:style>
  <w:style w:type="character" w:customStyle="1" w:styleId="Heading1Char">
    <w:name w:val="Heading 1 Char"/>
    <w:basedOn w:val="DefaultParagraphFont"/>
    <w:link w:val="Heading1"/>
    <w:uiPriority w:val="9"/>
    <w:rsid w:val="00F22243"/>
    <w:rPr>
      <w:b/>
      <w:sz w:val="48"/>
      <w:szCs w:val="48"/>
      <w:lang w:val="es-AR"/>
    </w:rPr>
  </w:style>
  <w:style w:type="character" w:customStyle="1" w:styleId="Heading3Char">
    <w:name w:val="Heading 3 Char"/>
    <w:basedOn w:val="DefaultParagraphFont"/>
    <w:link w:val="Heading3"/>
    <w:uiPriority w:val="9"/>
    <w:rsid w:val="00F22243"/>
    <w:rPr>
      <w:b/>
      <w:sz w:val="28"/>
      <w:szCs w:val="28"/>
      <w:lang w:val="es-AR"/>
    </w:rPr>
  </w:style>
  <w:style w:type="table" w:styleId="TableGrid">
    <w:name w:val="Table Grid"/>
    <w:basedOn w:val="TableNormal"/>
    <w:uiPriority w:val="59"/>
    <w:rsid w:val="00DD7B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C3342"/>
    <w:rPr>
      <w:sz w:val="16"/>
      <w:szCs w:val="16"/>
    </w:rPr>
  </w:style>
  <w:style w:type="paragraph" w:styleId="CommentText">
    <w:name w:val="annotation text"/>
    <w:basedOn w:val="Normal"/>
    <w:link w:val="CommentTextChar"/>
    <w:uiPriority w:val="99"/>
    <w:semiHidden/>
    <w:unhideWhenUsed/>
    <w:rsid w:val="008C3342"/>
    <w:pPr>
      <w:spacing w:line="240" w:lineRule="auto"/>
    </w:pPr>
    <w:rPr>
      <w:sz w:val="20"/>
      <w:szCs w:val="20"/>
    </w:rPr>
  </w:style>
  <w:style w:type="character" w:customStyle="1" w:styleId="CommentTextChar">
    <w:name w:val="Comment Text Char"/>
    <w:basedOn w:val="DefaultParagraphFont"/>
    <w:link w:val="CommentText"/>
    <w:uiPriority w:val="99"/>
    <w:semiHidden/>
    <w:rsid w:val="008C3342"/>
    <w:rPr>
      <w:sz w:val="20"/>
      <w:szCs w:val="20"/>
    </w:rPr>
  </w:style>
  <w:style w:type="paragraph" w:styleId="CommentSubject">
    <w:name w:val="annotation subject"/>
    <w:basedOn w:val="CommentText"/>
    <w:next w:val="CommentText"/>
    <w:link w:val="CommentSubjectChar"/>
    <w:uiPriority w:val="99"/>
    <w:semiHidden/>
    <w:unhideWhenUsed/>
    <w:rsid w:val="008C3342"/>
    <w:rPr>
      <w:b/>
      <w:bCs/>
    </w:rPr>
  </w:style>
  <w:style w:type="character" w:customStyle="1" w:styleId="CommentSubjectChar">
    <w:name w:val="Comment Subject Char"/>
    <w:basedOn w:val="CommentTextChar"/>
    <w:link w:val="CommentSubject"/>
    <w:uiPriority w:val="99"/>
    <w:semiHidden/>
    <w:rsid w:val="008C3342"/>
    <w:rPr>
      <w:b/>
      <w:bCs/>
      <w:sz w:val="20"/>
      <w:szCs w:val="20"/>
    </w:rPr>
  </w:style>
  <w:style w:type="paragraph" w:styleId="BalloonText">
    <w:name w:val="Balloon Text"/>
    <w:basedOn w:val="Normal"/>
    <w:link w:val="BalloonTextChar"/>
    <w:uiPriority w:val="99"/>
    <w:semiHidden/>
    <w:unhideWhenUsed/>
    <w:rsid w:val="008C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015">
      <w:bodyDiv w:val="1"/>
      <w:marLeft w:val="0"/>
      <w:marRight w:val="0"/>
      <w:marTop w:val="0"/>
      <w:marBottom w:val="0"/>
      <w:divBdr>
        <w:top w:val="none" w:sz="0" w:space="0" w:color="auto"/>
        <w:left w:val="none" w:sz="0" w:space="0" w:color="auto"/>
        <w:bottom w:val="none" w:sz="0" w:space="0" w:color="auto"/>
        <w:right w:val="none" w:sz="0" w:space="0" w:color="auto"/>
      </w:divBdr>
    </w:div>
    <w:div w:id="7831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5B379-DAC9-417D-8A03-1EAF27DB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pablo</cp:lastModifiedBy>
  <cp:revision>3</cp:revision>
  <cp:lastPrinted>2021-10-27T19:31:00Z</cp:lastPrinted>
  <dcterms:created xsi:type="dcterms:W3CDTF">2025-12-03T12:11:00Z</dcterms:created>
  <dcterms:modified xsi:type="dcterms:W3CDTF">2025-12-03T12:12:00Z</dcterms:modified>
</cp:coreProperties>
</file>