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EC8A" w14:textId="77777777" w:rsidR="004E5D61" w:rsidRPr="00C60AE3" w:rsidRDefault="005457F4" w:rsidP="007A3CF2">
      <w:pPr>
        <w:jc w:val="center"/>
        <w:rPr>
          <w:rFonts w:ascii="Times New Roman" w:hAnsi="Times New Roman" w:cs="Times New Roman"/>
          <w:b/>
          <w:bCs/>
        </w:rPr>
      </w:pPr>
      <w:r w:rsidRPr="00C60AE3">
        <w:rPr>
          <w:rFonts w:ascii="Times New Roman" w:hAnsi="Times New Roman" w:cs="Times New Roman"/>
          <w:b/>
          <w:bCs/>
        </w:rPr>
        <w:t xml:space="preserve">Matriz analítica de </w:t>
      </w:r>
      <w:r w:rsidR="007A3CF2" w:rsidRPr="00C60AE3">
        <w:rPr>
          <w:rFonts w:ascii="Times New Roman" w:hAnsi="Times New Roman" w:cs="Times New Roman"/>
          <w:b/>
          <w:bCs/>
        </w:rPr>
        <w:t xml:space="preserve">la </w:t>
      </w:r>
      <w:r w:rsidRPr="00C60AE3">
        <w:rPr>
          <w:rFonts w:ascii="Times New Roman" w:hAnsi="Times New Roman" w:cs="Times New Roman"/>
          <w:b/>
          <w:bCs/>
        </w:rPr>
        <w:t>institucionalización política de los movimientos sociales</w:t>
      </w:r>
    </w:p>
    <w:p w14:paraId="34465ADF" w14:textId="0BBCA3C1" w:rsidR="009A1909" w:rsidRDefault="002C5A1C" w:rsidP="007A3CF2">
      <w:pPr>
        <w:jc w:val="both"/>
        <w:rPr>
          <w:rFonts w:ascii="Times New Roman" w:hAnsi="Times New Roman" w:cs="Times New Roman"/>
        </w:rPr>
      </w:pPr>
      <w:r w:rsidRPr="00C60AE3">
        <w:rPr>
          <w:rFonts w:ascii="Times New Roman" w:hAnsi="Times New Roman" w:cs="Times New Roman"/>
        </w:rPr>
        <w:t xml:space="preserve">La elaboración de la matriz se realizó tomando como base los trabajos de Gurza Lavalle y </w:t>
      </w:r>
      <w:proofErr w:type="spellStart"/>
      <w:r w:rsidRPr="00C60AE3">
        <w:rPr>
          <w:rFonts w:ascii="Times New Roman" w:hAnsi="Times New Roman" w:cs="Times New Roman"/>
        </w:rPr>
        <w:t>Szwako</w:t>
      </w:r>
      <w:proofErr w:type="spellEnd"/>
      <w:r w:rsidRPr="00C60AE3">
        <w:rPr>
          <w:rFonts w:ascii="Times New Roman" w:hAnsi="Times New Roman" w:cs="Times New Roman"/>
        </w:rPr>
        <w:t xml:space="preserve"> (2020) y el de </w:t>
      </w:r>
      <w:r w:rsidR="00AC1E03" w:rsidRPr="00C60AE3">
        <w:rPr>
          <w:rFonts w:ascii="Times New Roman" w:hAnsi="Times New Roman" w:cs="Times New Roman"/>
        </w:rPr>
        <w:t xml:space="preserve">Helmke y Levitsky (2004). El </w:t>
      </w:r>
      <w:r w:rsidR="00B6605F">
        <w:rPr>
          <w:rFonts w:ascii="Times New Roman" w:hAnsi="Times New Roman" w:cs="Times New Roman"/>
        </w:rPr>
        <w:t xml:space="preserve">trabajo de </w:t>
      </w:r>
      <w:proofErr w:type="spellStart"/>
      <w:r w:rsidR="00B6605F" w:rsidRPr="00C60AE3">
        <w:rPr>
          <w:rFonts w:ascii="Times New Roman" w:hAnsi="Times New Roman" w:cs="Times New Roman"/>
        </w:rPr>
        <w:t>Gurza</w:t>
      </w:r>
      <w:proofErr w:type="spellEnd"/>
      <w:r w:rsidR="00B6605F" w:rsidRPr="00C60AE3">
        <w:rPr>
          <w:rFonts w:ascii="Times New Roman" w:hAnsi="Times New Roman" w:cs="Times New Roman"/>
        </w:rPr>
        <w:t xml:space="preserve"> Lavalle y </w:t>
      </w:r>
      <w:proofErr w:type="spellStart"/>
      <w:r w:rsidR="00B6605F" w:rsidRPr="00C60AE3">
        <w:rPr>
          <w:rFonts w:ascii="Times New Roman" w:hAnsi="Times New Roman" w:cs="Times New Roman"/>
        </w:rPr>
        <w:t>Szwako</w:t>
      </w:r>
      <w:proofErr w:type="spellEnd"/>
      <w:r w:rsidR="00AC1E03" w:rsidRPr="00C60AE3">
        <w:rPr>
          <w:rFonts w:ascii="Times New Roman" w:hAnsi="Times New Roman" w:cs="Times New Roman"/>
        </w:rPr>
        <w:t xml:space="preserve"> define el concepto institucionalización política </w:t>
      </w:r>
      <w:r w:rsidRPr="00C60AE3">
        <w:rPr>
          <w:rFonts w:ascii="Times New Roman" w:hAnsi="Times New Roman" w:cs="Times New Roman"/>
        </w:rPr>
        <w:t xml:space="preserve">de los movimientos sociales </w:t>
      </w:r>
      <w:r w:rsidR="00C60AE3">
        <w:rPr>
          <w:rFonts w:ascii="Times New Roman" w:hAnsi="Times New Roman" w:cs="Times New Roman"/>
        </w:rPr>
        <w:t>caracterizado</w:t>
      </w:r>
      <w:r w:rsidRPr="00C60AE3">
        <w:rPr>
          <w:rFonts w:ascii="Times New Roman" w:hAnsi="Times New Roman" w:cs="Times New Roman"/>
        </w:rPr>
        <w:t xml:space="preserve"> por las dimensiones simbólica, programática y posicional</w:t>
      </w:r>
      <w:r w:rsidR="00AC1E03" w:rsidRPr="00C60AE3">
        <w:rPr>
          <w:rFonts w:ascii="Times New Roman" w:hAnsi="Times New Roman" w:cs="Times New Roman"/>
        </w:rPr>
        <w:t xml:space="preserve"> mientras que el </w:t>
      </w:r>
      <w:r w:rsidR="00B6605F">
        <w:rPr>
          <w:rFonts w:ascii="Times New Roman" w:hAnsi="Times New Roman" w:cs="Times New Roman"/>
        </w:rPr>
        <w:t xml:space="preserve">de </w:t>
      </w:r>
      <w:r w:rsidR="00B6605F" w:rsidRPr="00C60AE3">
        <w:rPr>
          <w:rFonts w:ascii="Times New Roman" w:hAnsi="Times New Roman" w:cs="Times New Roman"/>
        </w:rPr>
        <w:t xml:space="preserve">Helmke y Levitsky </w:t>
      </w:r>
      <w:r w:rsidRPr="00C60AE3">
        <w:rPr>
          <w:rFonts w:ascii="Times New Roman" w:hAnsi="Times New Roman" w:cs="Times New Roman"/>
        </w:rPr>
        <w:t xml:space="preserve">incorpora el tipo de vínculo entre los actores y organizaciones sociales respecto de la formación política que se encuentra en el gobierno. En este sentido, se agregan dos ejes analíticos: compatibilidad de objetivos y objetivos en conflicto. </w:t>
      </w:r>
      <w:r w:rsidR="00B6605F">
        <w:rPr>
          <w:rFonts w:ascii="Times New Roman" w:hAnsi="Times New Roman" w:cs="Times New Roman"/>
        </w:rPr>
        <w:t xml:space="preserve">De acuerdo con esto, la </w:t>
      </w:r>
      <w:r w:rsidRPr="00C60AE3">
        <w:rPr>
          <w:rFonts w:ascii="Times New Roman" w:hAnsi="Times New Roman" w:cs="Times New Roman"/>
        </w:rPr>
        <w:t xml:space="preserve">operacionalización permite registrar </w:t>
      </w:r>
      <w:r w:rsidR="00B6605F">
        <w:rPr>
          <w:rFonts w:ascii="Times New Roman" w:hAnsi="Times New Roman" w:cs="Times New Roman"/>
        </w:rPr>
        <w:t xml:space="preserve">los ámbitos en que se produce la institucionalización y las </w:t>
      </w:r>
      <w:r w:rsidRPr="00C60AE3">
        <w:rPr>
          <w:rFonts w:ascii="Times New Roman" w:hAnsi="Times New Roman" w:cs="Times New Roman"/>
        </w:rPr>
        <w:t xml:space="preserve">relaciones diferenciales —de cooperación, apoyo crítico o conflicto abierto— entre los actores </w:t>
      </w:r>
      <w:r w:rsidR="00ED0739" w:rsidRPr="00C60AE3">
        <w:rPr>
          <w:rFonts w:ascii="Times New Roman" w:hAnsi="Times New Roman" w:cs="Times New Roman"/>
        </w:rPr>
        <w:t xml:space="preserve">al interior de cada movimiento social </w:t>
      </w:r>
      <w:r w:rsidRPr="00C60AE3">
        <w:rPr>
          <w:rFonts w:ascii="Times New Roman" w:hAnsi="Times New Roman" w:cs="Times New Roman"/>
        </w:rPr>
        <w:t xml:space="preserve">y las </w:t>
      </w:r>
      <w:r w:rsidR="00ED0739">
        <w:rPr>
          <w:rFonts w:ascii="Times New Roman" w:hAnsi="Times New Roman" w:cs="Times New Roman"/>
        </w:rPr>
        <w:t xml:space="preserve">distintas </w:t>
      </w:r>
      <w:r w:rsidRPr="00C60AE3">
        <w:rPr>
          <w:rFonts w:ascii="Times New Roman" w:hAnsi="Times New Roman" w:cs="Times New Roman"/>
        </w:rPr>
        <w:t>agencias gubernamentales</w:t>
      </w:r>
    </w:p>
    <w:p w14:paraId="51953403" w14:textId="22ABCF8F" w:rsidR="002C5A1C" w:rsidRPr="00C60AE3" w:rsidRDefault="002C5A1C" w:rsidP="007A3CF2">
      <w:pPr>
        <w:jc w:val="both"/>
        <w:rPr>
          <w:rFonts w:ascii="Times New Roman" w:hAnsi="Times New Roman" w:cs="Times New Roman"/>
        </w:rPr>
      </w:pPr>
      <w:r w:rsidRPr="00C60AE3">
        <w:rPr>
          <w:rFonts w:ascii="Times New Roman" w:hAnsi="Times New Roman" w:cs="Times New Roman"/>
        </w:rPr>
        <w:t>.</w:t>
      </w:r>
    </w:p>
    <w:p w14:paraId="63F934AC" w14:textId="0A18E027" w:rsidR="007A3CF2" w:rsidRPr="00C60AE3" w:rsidRDefault="007A3CF2" w:rsidP="007A3CF2">
      <w:pPr>
        <w:jc w:val="both"/>
        <w:rPr>
          <w:rFonts w:ascii="Times New Roman" w:hAnsi="Times New Roman" w:cs="Times New Roman"/>
        </w:rPr>
      </w:pPr>
      <w:r w:rsidRPr="00C60AE3">
        <w:rPr>
          <w:rFonts w:ascii="Times New Roman" w:hAnsi="Times New Roman" w:cs="Times New Roman"/>
        </w:rPr>
        <w:t xml:space="preserve">  </w:t>
      </w:r>
      <w:r w:rsidR="009A1909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2923"/>
        <w:gridCol w:w="3035"/>
      </w:tblGrid>
      <w:tr w:rsidR="007A3CF2" w:rsidRPr="00C60AE3" w14:paraId="319F13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66A5AA" w14:textId="77777777" w:rsidR="007A3CF2" w:rsidRPr="00C60AE3" w:rsidRDefault="007A3CF2" w:rsidP="007A3CF2">
            <w:pPr>
              <w:rPr>
                <w:rFonts w:ascii="Times New Roman" w:hAnsi="Times New Roman" w:cs="Times New Roman"/>
                <w:b/>
                <w:bCs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t>Institucionalización Simbólica</w:t>
            </w:r>
          </w:p>
        </w:tc>
        <w:tc>
          <w:tcPr>
            <w:tcW w:w="0" w:type="auto"/>
            <w:vAlign w:val="center"/>
            <w:hideMark/>
          </w:tcPr>
          <w:p w14:paraId="7EEE5C45" w14:textId="77777777" w:rsidR="007A3CF2" w:rsidRPr="00C60AE3" w:rsidRDefault="007A3CF2" w:rsidP="007A3CF2">
            <w:pPr>
              <w:rPr>
                <w:rFonts w:ascii="Times New Roman" w:hAnsi="Times New Roman" w:cs="Times New Roman"/>
                <w:b/>
                <w:bCs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t>Objetivos Compatibles</w:t>
            </w:r>
          </w:p>
        </w:tc>
        <w:tc>
          <w:tcPr>
            <w:tcW w:w="0" w:type="auto"/>
            <w:vAlign w:val="center"/>
            <w:hideMark/>
          </w:tcPr>
          <w:p w14:paraId="1956CA64" w14:textId="77777777" w:rsidR="007A3CF2" w:rsidRPr="00C60AE3" w:rsidRDefault="007A3CF2" w:rsidP="007A3CF2">
            <w:pPr>
              <w:rPr>
                <w:rFonts w:ascii="Times New Roman" w:hAnsi="Times New Roman" w:cs="Times New Roman"/>
                <w:b/>
                <w:bCs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t>Objetivos en Conflicto</w:t>
            </w:r>
          </w:p>
        </w:tc>
      </w:tr>
      <w:tr w:rsidR="007A3CF2" w:rsidRPr="00C60AE3" w14:paraId="332FE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FDA68" w14:textId="77777777" w:rsidR="007A3CF2" w:rsidRPr="00C60AE3" w:rsidRDefault="007A3CF2" w:rsidP="007A3CF2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t>Con incorporación de categorías del movimiento al lenguaje gubernamental</w:t>
            </w:r>
          </w:p>
        </w:tc>
        <w:tc>
          <w:tcPr>
            <w:tcW w:w="0" w:type="auto"/>
            <w:vAlign w:val="center"/>
            <w:hideMark/>
          </w:tcPr>
          <w:p w14:paraId="612A8AFD" w14:textId="77777777" w:rsidR="007A3CF2" w:rsidRPr="00C60AE3" w:rsidRDefault="007A3CF2" w:rsidP="007A3CF2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Reconocimiento y legitimación de las categorías de clasificación del movimiento por parte del Estado; el lenguaje estatal incorpora y valida las demandas y la identidad del movimiento.</w:t>
            </w:r>
          </w:p>
        </w:tc>
        <w:tc>
          <w:tcPr>
            <w:tcW w:w="0" w:type="auto"/>
            <w:vAlign w:val="center"/>
            <w:hideMark/>
          </w:tcPr>
          <w:p w14:paraId="3823097E" w14:textId="77777777" w:rsidR="007A3CF2" w:rsidRPr="00C60AE3" w:rsidRDefault="007A3CF2" w:rsidP="007A3CF2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Apropiación y resignificación de las categorías del movimiento por parte del Estado; uso instrumental del lenguaje del movimiento para neutralizar su potencial transformador o vaciar su contenido original.</w:t>
            </w:r>
          </w:p>
        </w:tc>
      </w:tr>
      <w:tr w:rsidR="007A3CF2" w:rsidRPr="00C60AE3" w14:paraId="456E5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CFE78" w14:textId="77777777" w:rsidR="007A3CF2" w:rsidRPr="00C60AE3" w:rsidRDefault="007A3CF2" w:rsidP="007A3CF2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t>Sin incorporación de categorías del movimiento al lenguaje gubernamental</w:t>
            </w:r>
          </w:p>
        </w:tc>
        <w:tc>
          <w:tcPr>
            <w:tcW w:w="0" w:type="auto"/>
            <w:vAlign w:val="center"/>
            <w:hideMark/>
          </w:tcPr>
          <w:p w14:paraId="34CB2912" w14:textId="77777777" w:rsidR="007A3CF2" w:rsidRPr="00C60AE3" w:rsidRDefault="007A3CF2" w:rsidP="007A3CF2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Ausencia de reconocimiento simbólico estatal pese a convergencia de objetivos; debilidad estatal o falta de capacidad para articular discursivamente las demandas del movimiento.</w:t>
            </w:r>
          </w:p>
        </w:tc>
        <w:tc>
          <w:tcPr>
            <w:tcW w:w="0" w:type="auto"/>
            <w:vAlign w:val="center"/>
            <w:hideMark/>
          </w:tcPr>
          <w:p w14:paraId="70F36B75" w14:textId="77777777" w:rsidR="007A3CF2" w:rsidRPr="00C60AE3" w:rsidRDefault="007A3CF2" w:rsidP="007A3CF2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Rechazo discursivo de las categorías del movimiento; criminalización o estigmatización de su lenguaje e identidad. El Estado construye categorías antagónicas para deslegitimar al movimiento.</w:t>
            </w:r>
          </w:p>
        </w:tc>
      </w:tr>
    </w:tbl>
    <w:p w14:paraId="345181BF" w14:textId="77777777" w:rsidR="0051092F" w:rsidRPr="00C60AE3" w:rsidRDefault="0051092F" w:rsidP="007215C5">
      <w:pPr>
        <w:rPr>
          <w:rFonts w:ascii="Times New Roman" w:hAnsi="Times New Roman" w:cs="Times New Roman"/>
        </w:rPr>
      </w:pPr>
    </w:p>
    <w:p w14:paraId="35EB5A59" w14:textId="77777777" w:rsidR="0051092F" w:rsidRPr="00C60AE3" w:rsidRDefault="0051092F">
      <w:pPr>
        <w:rPr>
          <w:rFonts w:ascii="Times New Roman" w:hAnsi="Times New Roman" w:cs="Times New Roman"/>
        </w:rPr>
      </w:pPr>
      <w:r w:rsidRPr="00C60AE3">
        <w:rPr>
          <w:rFonts w:ascii="Times New Roman" w:hAnsi="Times New Roman" w:cs="Times New Roman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2654"/>
        <w:gridCol w:w="3313"/>
      </w:tblGrid>
      <w:tr w:rsidR="0051092F" w:rsidRPr="00C60AE3" w14:paraId="15F54F59" w14:textId="77777777" w:rsidTr="009D5D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F5D9A2" w14:textId="77777777" w:rsidR="0051092F" w:rsidRPr="00C60AE3" w:rsidRDefault="0051092F" w:rsidP="009D5DAE">
            <w:pPr>
              <w:rPr>
                <w:rFonts w:ascii="Times New Roman" w:hAnsi="Times New Roman" w:cs="Times New Roman"/>
                <w:b/>
                <w:bCs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lastRenderedPageBreak/>
              <w:t>Institucionalización Programática</w:t>
            </w:r>
          </w:p>
        </w:tc>
        <w:tc>
          <w:tcPr>
            <w:tcW w:w="0" w:type="auto"/>
            <w:vAlign w:val="center"/>
            <w:hideMark/>
          </w:tcPr>
          <w:p w14:paraId="12AAD267" w14:textId="77777777" w:rsidR="0051092F" w:rsidRPr="00C60AE3" w:rsidRDefault="0051092F" w:rsidP="009D5DAE">
            <w:pPr>
              <w:rPr>
                <w:rFonts w:ascii="Times New Roman" w:hAnsi="Times New Roman" w:cs="Times New Roman"/>
                <w:b/>
                <w:bCs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t>Objetivos Compatibles</w:t>
            </w:r>
          </w:p>
        </w:tc>
        <w:tc>
          <w:tcPr>
            <w:tcW w:w="0" w:type="auto"/>
            <w:vAlign w:val="center"/>
            <w:hideMark/>
          </w:tcPr>
          <w:p w14:paraId="3E5675E3" w14:textId="77777777" w:rsidR="0051092F" w:rsidRPr="00C60AE3" w:rsidRDefault="0051092F" w:rsidP="009D5DAE">
            <w:pPr>
              <w:rPr>
                <w:rFonts w:ascii="Times New Roman" w:hAnsi="Times New Roman" w:cs="Times New Roman"/>
                <w:b/>
                <w:bCs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t>Objetivos en Conflicto</w:t>
            </w:r>
          </w:p>
        </w:tc>
      </w:tr>
      <w:tr w:rsidR="0051092F" w:rsidRPr="00C60AE3" w14:paraId="23EC4DC9" w14:textId="77777777" w:rsidTr="009D5D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1C08D" w14:textId="77777777" w:rsidR="0051092F" w:rsidRPr="00C60AE3" w:rsidRDefault="0051092F" w:rsidP="009D5DAE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t>Con incorporación de demandas en políticas públicas</w:t>
            </w:r>
          </w:p>
        </w:tc>
        <w:tc>
          <w:tcPr>
            <w:tcW w:w="0" w:type="auto"/>
            <w:vAlign w:val="center"/>
            <w:hideMark/>
          </w:tcPr>
          <w:p w14:paraId="1B74DC68" w14:textId="77777777" w:rsidR="0051092F" w:rsidRPr="00C60AE3" w:rsidRDefault="0051092F" w:rsidP="009D5DAE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Convergencia entre la agenda del movimiento y la agenda estatal; las políticas refuerzan la organización.</w:t>
            </w:r>
          </w:p>
        </w:tc>
        <w:tc>
          <w:tcPr>
            <w:tcW w:w="0" w:type="auto"/>
            <w:vAlign w:val="center"/>
            <w:hideMark/>
          </w:tcPr>
          <w:p w14:paraId="6D384CEF" w14:textId="77777777" w:rsidR="0051092F" w:rsidRPr="00C60AE3" w:rsidRDefault="0051092F" w:rsidP="009D5DAE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Incorporación formal pero instrumental; incorporación selectiva de las organizaciones que conforman el movimiento social, orientada a neutralizar su accionar.</w:t>
            </w:r>
          </w:p>
        </w:tc>
      </w:tr>
      <w:tr w:rsidR="0051092F" w:rsidRPr="00C60AE3" w14:paraId="1B30F206" w14:textId="77777777" w:rsidTr="009D5D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0CD4B" w14:textId="77777777" w:rsidR="0051092F" w:rsidRPr="00C60AE3" w:rsidRDefault="0051092F" w:rsidP="009D5DAE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  <w:b/>
                <w:bCs/>
              </w:rPr>
              <w:t>Sin incorporación de demandas en políticas públicas</w:t>
            </w:r>
          </w:p>
        </w:tc>
        <w:tc>
          <w:tcPr>
            <w:tcW w:w="0" w:type="auto"/>
            <w:vAlign w:val="center"/>
            <w:hideMark/>
          </w:tcPr>
          <w:p w14:paraId="718095B4" w14:textId="77777777" w:rsidR="0051092F" w:rsidRPr="00C60AE3" w:rsidRDefault="0051092F" w:rsidP="009D5DAE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La debilidad estatal impide traducir la compatibilidad en políticas efectivas; el movimiento suple al Estado.</w:t>
            </w:r>
          </w:p>
        </w:tc>
        <w:tc>
          <w:tcPr>
            <w:tcW w:w="0" w:type="auto"/>
            <w:vAlign w:val="center"/>
            <w:hideMark/>
          </w:tcPr>
          <w:p w14:paraId="6CFC03F6" w14:textId="77777777" w:rsidR="0051092F" w:rsidRPr="00C60AE3" w:rsidRDefault="0051092F" w:rsidP="009D5DAE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Exclusión programática; rechazo activo de las demandas del movimiento. La relación es de confrontación abierta.</w:t>
            </w:r>
          </w:p>
        </w:tc>
      </w:tr>
    </w:tbl>
    <w:p w14:paraId="3FC19B2F" w14:textId="77777777" w:rsidR="0051092F" w:rsidRPr="00C60AE3" w:rsidRDefault="0051092F" w:rsidP="007215C5">
      <w:pPr>
        <w:rPr>
          <w:rFonts w:ascii="Times New Roman" w:hAnsi="Times New Roman" w:cs="Times New Roman"/>
        </w:rPr>
      </w:pPr>
    </w:p>
    <w:p w14:paraId="016B2D19" w14:textId="77777777" w:rsidR="005A31E2" w:rsidRPr="00C60AE3" w:rsidRDefault="00000000">
      <w:pPr>
        <w:rPr>
          <w:rFonts w:ascii="Times New Roman" w:hAnsi="Times New Roman" w:cs="Times New Roman"/>
        </w:rPr>
      </w:pPr>
      <w:r w:rsidRPr="00C60AE3"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5A31E2" w:rsidRPr="00C60AE3" w14:paraId="7389844E" w14:textId="77777777">
        <w:tc>
          <w:tcPr>
            <w:tcW w:w="2835" w:type="dxa"/>
          </w:tcPr>
          <w:p w14:paraId="07ADD574" w14:textId="77777777" w:rsidR="005A31E2" w:rsidRPr="00C60AE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  <w:b/>
              </w:rPr>
              <w:lastRenderedPageBreak/>
              <w:t>Institucionalización Posicional</w:t>
            </w:r>
          </w:p>
        </w:tc>
        <w:tc>
          <w:tcPr>
            <w:tcW w:w="2835" w:type="dxa"/>
          </w:tcPr>
          <w:p w14:paraId="32E26D8D" w14:textId="77777777" w:rsidR="005A31E2" w:rsidRPr="00C60AE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  <w:b/>
              </w:rPr>
              <w:t>Objetivos Compatibles</w:t>
            </w:r>
          </w:p>
        </w:tc>
        <w:tc>
          <w:tcPr>
            <w:tcW w:w="2835" w:type="dxa"/>
          </w:tcPr>
          <w:p w14:paraId="33919839" w14:textId="77777777" w:rsidR="005A31E2" w:rsidRPr="00C60AE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  <w:b/>
              </w:rPr>
              <w:t>Objetivos en Conflicto</w:t>
            </w:r>
          </w:p>
        </w:tc>
      </w:tr>
      <w:tr w:rsidR="005A31E2" w:rsidRPr="00C60AE3" w14:paraId="0E55C7D6" w14:textId="77777777">
        <w:tc>
          <w:tcPr>
            <w:tcW w:w="2835" w:type="dxa"/>
          </w:tcPr>
          <w:p w14:paraId="7DA5925D" w14:textId="77777777" w:rsidR="005A31E2" w:rsidRPr="00C60AE3" w:rsidRDefault="00000000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Con incorporación en cargos públicos (secretarías, subsecretarías, direcciones, legislaturas)</w:t>
            </w:r>
          </w:p>
        </w:tc>
        <w:tc>
          <w:tcPr>
            <w:tcW w:w="2835" w:type="dxa"/>
          </w:tcPr>
          <w:p w14:paraId="53ED0347" w14:textId="77777777" w:rsidR="005A31E2" w:rsidRPr="00C60AE3" w:rsidRDefault="00000000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Reconocimiento de la legitimidad política del movimiento; acceso a recursos estatales y capacidad de incidir en la elaboración e implementación de políticas públicas; fortalecimiento organizacional.</w:t>
            </w:r>
          </w:p>
        </w:tc>
        <w:tc>
          <w:tcPr>
            <w:tcW w:w="2835" w:type="dxa"/>
          </w:tcPr>
          <w:p w14:paraId="46A3A09F" w14:textId="77777777" w:rsidR="005A31E2" w:rsidRPr="00C60AE3" w:rsidRDefault="00000000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Cooptación política; subordinación de la autonomía organizacional a los intereses gubernamentales; colonización identitaria; el movimiento se convierte en fuerza de choque del gobierno; tensión entre base militante y dirigencia cooptada.</w:t>
            </w:r>
          </w:p>
        </w:tc>
      </w:tr>
      <w:tr w:rsidR="005A31E2" w:rsidRPr="00C60AE3" w14:paraId="4BF95803" w14:textId="77777777">
        <w:tc>
          <w:tcPr>
            <w:tcW w:w="2835" w:type="dxa"/>
          </w:tcPr>
          <w:p w14:paraId="0BE00894" w14:textId="77777777" w:rsidR="005A31E2" w:rsidRPr="00C60AE3" w:rsidRDefault="00000000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Sin incorporación en cargos públicos</w:t>
            </w:r>
          </w:p>
        </w:tc>
        <w:tc>
          <w:tcPr>
            <w:tcW w:w="2835" w:type="dxa"/>
          </w:tcPr>
          <w:p w14:paraId="2CB5D335" w14:textId="77777777" w:rsidR="005A31E2" w:rsidRPr="00C60AE3" w:rsidRDefault="00000000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Preservación de autonomía política pese a compatibilidad de objetivos; el movimiento mantiene capacidad crítica y de presión desde fuera del aparato estatal; debilidad estatal para incorporar cuadros del movimiento.</w:t>
            </w:r>
          </w:p>
        </w:tc>
        <w:tc>
          <w:tcPr>
            <w:tcW w:w="2835" w:type="dxa"/>
          </w:tcPr>
          <w:p w14:paraId="56746FFE" w14:textId="77777777" w:rsidR="005A31E2" w:rsidRPr="00C60AE3" w:rsidRDefault="00000000">
            <w:pPr>
              <w:rPr>
                <w:rFonts w:ascii="Times New Roman" w:hAnsi="Times New Roman" w:cs="Times New Roman"/>
              </w:rPr>
            </w:pPr>
            <w:r w:rsidRPr="00C60AE3">
              <w:rPr>
                <w:rFonts w:ascii="Times New Roman" w:hAnsi="Times New Roman" w:cs="Times New Roman"/>
              </w:rPr>
              <w:t>Exclusión posicional sistemática; cierre de canales de diálogo institucional; criminalización de dirigentes; desmantelamiento de espacios de participación previamente conquistados; incremento del componente represivo.</w:t>
            </w:r>
          </w:p>
        </w:tc>
      </w:tr>
    </w:tbl>
    <w:p w14:paraId="37B244C8" w14:textId="77777777" w:rsidR="00DC4AA7" w:rsidRPr="00C60AE3" w:rsidRDefault="00DC4AA7">
      <w:pPr>
        <w:rPr>
          <w:rFonts w:ascii="Times New Roman" w:hAnsi="Times New Roman" w:cs="Times New Roman"/>
        </w:rPr>
      </w:pPr>
    </w:p>
    <w:sectPr w:rsidR="00DC4AA7" w:rsidRPr="00C60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F"/>
    <w:rsid w:val="000D7117"/>
    <w:rsid w:val="000E04C0"/>
    <w:rsid w:val="001E37BC"/>
    <w:rsid w:val="0023320F"/>
    <w:rsid w:val="00276458"/>
    <w:rsid w:val="002C5A1C"/>
    <w:rsid w:val="004E5D61"/>
    <w:rsid w:val="0051092F"/>
    <w:rsid w:val="005457F4"/>
    <w:rsid w:val="005A31E2"/>
    <w:rsid w:val="005D7C18"/>
    <w:rsid w:val="007215C5"/>
    <w:rsid w:val="00741FED"/>
    <w:rsid w:val="007A3CF2"/>
    <w:rsid w:val="00884624"/>
    <w:rsid w:val="009509A6"/>
    <w:rsid w:val="009A1909"/>
    <w:rsid w:val="00AC1E03"/>
    <w:rsid w:val="00B6605F"/>
    <w:rsid w:val="00C60AE3"/>
    <w:rsid w:val="00D83233"/>
    <w:rsid w:val="00DC4AA7"/>
    <w:rsid w:val="00ED0739"/>
    <w:rsid w:val="00EF0BC5"/>
    <w:rsid w:val="00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A844"/>
  <w15:chartTrackingRefBased/>
  <w15:docId w15:val="{E7676E7A-F818-4377-804B-1147AE32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32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32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32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32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32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32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32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32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32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32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3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Iglesias</dc:creator>
  <cp:keywords/>
  <dc:description/>
  <cp:lastModifiedBy>Esteban Iglesias</cp:lastModifiedBy>
  <cp:revision>7</cp:revision>
  <dcterms:created xsi:type="dcterms:W3CDTF">2026-02-13T12:26:00Z</dcterms:created>
  <dcterms:modified xsi:type="dcterms:W3CDTF">2026-02-13T12:52:00Z</dcterms:modified>
</cp:coreProperties>
</file>