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color w:val="333333"/>
          <w:sz w:val="24"/>
          <w:szCs w:val="24"/>
          <w:rtl w:val="0"/>
        </w:rPr>
        <w:t xml:space="preserve">Fluxes of Nitrous Oxide from soils under afforestations in Tandil and Balcarce (Buenos Aires, Argentina): A dataset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jc w:val="both"/>
        <w:rPr>
          <w:vertAlign w:val="superscript"/>
        </w:rPr>
      </w:pPr>
      <w:r w:rsidDel="00000000" w:rsidR="00000000" w:rsidRPr="00000000">
        <w:rPr>
          <w:color w:val="333333"/>
          <w:rtl w:val="0"/>
        </w:rPr>
        <w:t xml:space="preserve">María DE BERNARDI</w:t>
      </w:r>
      <w:r w:rsidDel="00000000" w:rsidR="00000000" w:rsidRPr="00000000">
        <w:rPr>
          <w:color w:val="333333"/>
          <w:vertAlign w:val="superscript"/>
          <w:rtl w:val="0"/>
        </w:rPr>
        <w:t xml:space="preserve">123</w:t>
      </w:r>
      <w:r w:rsidDel="00000000" w:rsidR="00000000" w:rsidRPr="00000000">
        <w:rPr>
          <w:rtl w:val="0"/>
        </w:rPr>
        <w:t xml:space="preserve">,</w:t>
      </w:r>
      <w:r w:rsidDel="00000000" w:rsidR="00000000" w:rsidRPr="00000000">
        <w:rPr>
          <w:color w:val="333333"/>
          <w:rtl w:val="0"/>
        </w:rPr>
        <w:t xml:space="preserve"> María E. PRIANO</w:t>
      </w:r>
      <w:r w:rsidDel="00000000" w:rsidR="00000000" w:rsidRPr="00000000">
        <w:rPr>
          <w:color w:val="333333"/>
          <w:vertAlign w:val="superscript"/>
          <w:rtl w:val="0"/>
        </w:rPr>
        <w:t xml:space="preserve">12</w:t>
      </w:r>
      <w:r w:rsidDel="00000000" w:rsidR="00000000" w:rsidRPr="00000000">
        <w:rPr>
          <w:color w:val="333333"/>
          <w:rtl w:val="0"/>
        </w:rPr>
        <w:t xml:space="preserve">, María Elena FERNANDEZ</w:t>
      </w:r>
      <w:r w:rsidDel="00000000" w:rsidR="00000000" w:rsidRPr="00000000">
        <w:rPr>
          <w:color w:val="333333"/>
          <w:vertAlign w:val="superscript"/>
          <w:rtl w:val="0"/>
        </w:rPr>
        <w:t xml:space="preserve">4</w:t>
      </w:r>
      <w:r w:rsidDel="00000000" w:rsidR="00000000" w:rsidRPr="00000000">
        <w:rPr>
          <w:color w:val="333333"/>
          <w:rtl w:val="0"/>
        </w:rPr>
        <w:t xml:space="preserve">, Javier A. GYENGE</w:t>
      </w:r>
      <w:r w:rsidDel="00000000" w:rsidR="00000000" w:rsidRPr="00000000">
        <w:rPr>
          <w:color w:val="333333"/>
          <w:vertAlign w:val="superscript"/>
          <w:rtl w:val="0"/>
        </w:rPr>
        <w:t xml:space="preserve">4</w:t>
      </w:r>
      <w:r w:rsidDel="00000000" w:rsidR="00000000" w:rsidRPr="00000000">
        <w:rPr>
          <w:color w:val="333333"/>
          <w:rtl w:val="0"/>
        </w:rPr>
        <w:t xml:space="preserve"> and María P. JULIARENA</w:t>
      </w:r>
      <w:r w:rsidDel="00000000" w:rsidR="00000000" w:rsidRPr="00000000">
        <w:rPr>
          <w:color w:val="333333"/>
          <w:vertAlign w:val="superscript"/>
          <w:rtl w:val="0"/>
        </w:rPr>
        <w:t xml:space="preserve">12*</w:t>
      </w: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vertAlign w:val="superscript"/>
          <w:rtl w:val="0"/>
        </w:rPr>
        <w:t xml:space="preserve">1</w:t>
      </w:r>
      <w:r w:rsidDel="00000000" w:rsidR="00000000" w:rsidRPr="00000000">
        <w:rPr>
          <w:rtl w:val="0"/>
        </w:rPr>
        <w:t xml:space="preserve"> Centro de Investigaciones en Física e Ingeniería del Centro de la Provincia de Buenos Aires (CIFICEN), (UNCPBA-CONICET-CICPBA), Pinto 399, Tandil, (Buenos Aires), Argentina.</w:t>
      </w:r>
    </w:p>
    <w:p w:rsidR="00000000" w:rsidDel="00000000" w:rsidP="00000000" w:rsidRDefault="00000000" w:rsidRPr="00000000" w14:paraId="00000005">
      <w:pPr>
        <w:spacing w:line="360" w:lineRule="auto"/>
        <w:jc w:val="both"/>
        <w:rPr/>
      </w:pPr>
      <w:bookmarkStart w:colFirst="0" w:colLast="0" w:name="_1fob9te" w:id="0"/>
      <w:bookmarkEnd w:id="0"/>
      <w:r w:rsidDel="00000000" w:rsidR="00000000" w:rsidRPr="00000000">
        <w:rPr>
          <w:vertAlign w:val="superscript"/>
          <w:rtl w:val="0"/>
        </w:rPr>
        <w:t xml:space="preserve">2</w:t>
      </w:r>
      <w:r w:rsidDel="00000000" w:rsidR="00000000" w:rsidRPr="00000000">
        <w:rPr>
          <w:rtl w:val="0"/>
        </w:rPr>
        <w:t xml:space="preserve"> Universidad Nacional del Centro de la Provincia de Buenos Aires, Facultad de Ciencias Exactas, Instituto de Física Arroyo Seco (IFAS), Pinto 399, Tandil, (Buenos Aires), Argentina.</w:t>
      </w:r>
    </w:p>
    <w:p w:rsidR="00000000" w:rsidDel="00000000" w:rsidP="00000000" w:rsidRDefault="00000000" w:rsidRPr="00000000" w14:paraId="00000006">
      <w:pPr>
        <w:spacing w:line="360" w:lineRule="auto"/>
        <w:jc w:val="both"/>
        <w:rPr/>
      </w:pPr>
      <w:r w:rsidDel="00000000" w:rsidR="00000000" w:rsidRPr="00000000">
        <w:rPr>
          <w:vertAlign w:val="superscript"/>
          <w:rtl w:val="0"/>
        </w:rPr>
        <w:t xml:space="preserve">3</w:t>
      </w:r>
      <w:r w:rsidDel="00000000" w:rsidR="00000000" w:rsidRPr="00000000">
        <w:rPr>
          <w:rtl w:val="0"/>
        </w:rPr>
        <w:t xml:space="preserve"> Comisión de Investigaciones Científicas de la Provincia de Buenos Aires (CICPBA), 526 Street between 10 and 11, La Plata, (Buenos Aires), Argentina.</w:t>
      </w:r>
    </w:p>
    <w:p w:rsidR="00000000" w:rsidDel="00000000" w:rsidP="00000000" w:rsidRDefault="00000000" w:rsidRPr="00000000" w14:paraId="00000007">
      <w:pPr>
        <w:spacing w:line="360" w:lineRule="auto"/>
        <w:jc w:val="both"/>
        <w:rPr/>
      </w:pPr>
      <w:r w:rsidDel="00000000" w:rsidR="00000000" w:rsidRPr="00000000">
        <w:rPr>
          <w:vertAlign w:val="superscript"/>
          <w:rtl w:val="0"/>
        </w:rPr>
        <w:t xml:space="preserve">4</w:t>
      </w:r>
      <w:r w:rsidDel="00000000" w:rsidR="00000000" w:rsidRPr="00000000">
        <w:rPr>
          <w:rtl w:val="0"/>
        </w:rPr>
        <w:t xml:space="preserve"> Instituto de Innovación para la Producción Agropecuaria y el Desarrollo Sostenible (IPADS Balcarce), (INTA-CONICET), Tandil, (Buenos Aires), Argentina.</w:t>
      </w:r>
    </w:p>
    <w:p w:rsidR="00000000" w:rsidDel="00000000" w:rsidP="00000000" w:rsidRDefault="00000000" w:rsidRPr="00000000" w14:paraId="00000008">
      <w:pPr>
        <w:spacing w:line="360" w:lineRule="auto"/>
        <w:jc w:val="both"/>
        <w:rPr/>
      </w:pPr>
      <w:r w:rsidDel="00000000" w:rsidR="00000000" w:rsidRPr="00000000">
        <w:rPr>
          <w:rtl w:val="0"/>
        </w:rPr>
      </w:r>
    </w:p>
    <w:p w:rsidR="00000000" w:rsidDel="00000000" w:rsidP="00000000" w:rsidRDefault="00000000" w:rsidRPr="00000000" w14:paraId="00000009">
      <w:pPr>
        <w:spacing w:line="360" w:lineRule="auto"/>
        <w:ind w:firstLine="284"/>
        <w:jc w:val="both"/>
        <w:rPr>
          <w:b w:val="1"/>
          <w:bCs w:val="1"/>
        </w:rPr>
      </w:pPr>
      <w:bookmarkStart w:colFirst="0" w:colLast="0" w:name="_3znysh7" w:id="1"/>
      <w:bookmarkEnd w:id="1"/>
      <w:r w:rsidDel="00000000" w:rsidR="00000000" w:rsidRPr="00000000">
        <w:rPr>
          <w:b w:val="1"/>
          <w:bCs w:val="1"/>
          <w:rtl w:val="0"/>
        </w:rPr>
        <w:t xml:space="preserve">*pjuliarena@exa.unicen.edu.ar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Abstract</w:t>
      </w:r>
    </w:p>
    <w:p w:rsidR="00000000" w:rsidDel="00000000" w:rsidP="00000000" w:rsidRDefault="00000000" w:rsidRPr="00000000" w14:paraId="0000000C">
      <w:pPr>
        <w:jc w:val="both"/>
        <w:rPr/>
      </w:pPr>
      <w:r w:rsidDel="00000000" w:rsidR="00000000" w:rsidRPr="00000000">
        <w:rPr>
          <w:rtl w:val="0"/>
        </w:rPr>
        <w:t xml:space="preserve">The data set presents the nitrouse oxide (N</w:t>
      </w:r>
      <w:r w:rsidDel="00000000" w:rsidR="00000000" w:rsidRPr="00000000">
        <w:rPr>
          <w:vertAlign w:val="subscript"/>
          <w:rtl w:val="0"/>
        </w:rPr>
        <w:t xml:space="preserve">2</w:t>
      </w:r>
      <w:r w:rsidDel="00000000" w:rsidR="00000000" w:rsidRPr="00000000">
        <w:rPr>
          <w:rtl w:val="0"/>
        </w:rPr>
        <w:t xml:space="preserve">O) fluxes and related soil and climatic parameters from a mix-species, a pinus and an eucaliptus afforestation. These are located in Tandil and Balcarce (Buenos Aires, Argentina). Sampling period varies between 1 and 2 years, and sampling dates differing site to site. To measure N2O fluxes, the static chamber technique was used and sample collection each date occurred between 10 AM and noon for 1 hour. Gas samples were measured with a gas chromatograph (GC, Agilent 7890A) equipped with an ECD. The fluxes were calculated using the slope of a linear regression between N</w:t>
      </w:r>
      <w:r w:rsidDel="00000000" w:rsidR="00000000" w:rsidRPr="00000000">
        <w:rPr>
          <w:vertAlign w:val="subscript"/>
          <w:rtl w:val="0"/>
        </w:rPr>
        <w:t xml:space="preserve">2</w:t>
      </w:r>
      <w:r w:rsidDel="00000000" w:rsidR="00000000" w:rsidRPr="00000000">
        <w:rPr>
          <w:rtl w:val="0"/>
        </w:rPr>
        <w:t xml:space="preserve">O concentration inside the chamber vs time. During the same sampling dates, soil was sampled to obtain soil water content, bulk density, filled-water pore space, ammonium, nitrate, organic matter and pH. Also, soil temperature was measured in the site and daily temperature was obtained from the Argentinian national meteorological service (SMN) and the National Agricultural Technology Institute (INTA).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Methodology</w:t>
      </w: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1.1 </w:t>
      </w:r>
      <w:r w:rsidDel="00000000" w:rsidR="00000000" w:rsidRPr="00000000">
        <w:rPr>
          <w:rtl w:val="0"/>
        </w:rPr>
        <w:t xml:space="preserve">Site description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1.7666807699283"/>
        <w:gridCol w:w="3139.719216884352"/>
        <w:gridCol w:w="1665.9091933117575"/>
        <w:gridCol w:w="3338.1167200575856"/>
        <w:tblGridChange w:id="0">
          <w:tblGrid>
            <w:gridCol w:w="881.7666807699283"/>
            <w:gridCol w:w="3139.719216884352"/>
            <w:gridCol w:w="1665.9091933117575"/>
            <w:gridCol w:w="3338.1167200575856"/>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Site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Coordenadas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References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DOI</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MUP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37°17′0.90″S, 59° 7′0.44″W; 184 m.a.s.l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De Bernardi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hyperlink r:id="rId6">
              <w:r w:rsidDel="00000000" w:rsidR="00000000" w:rsidRPr="00000000">
                <w:rPr>
                  <w:color w:val="1155cc"/>
                  <w:u w:val="single"/>
                  <w:rtl w:val="0"/>
                </w:rPr>
                <w:t xml:space="preserve">https://doi.org/10.1016/j.geodrs.2019.e00230</w:t>
              </w:r>
            </w:hyperlink>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PP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37° 33´34.79 S; 59° 0.7´50.29´´ W, 280 m.a.s.l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De Bernardi et al., 2020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hyperlink r:id="rId7">
              <w:r w:rsidDel="00000000" w:rsidR="00000000" w:rsidRPr="00000000">
                <w:rPr>
                  <w:color w:val="1155cc"/>
                  <w:u w:val="single"/>
                  <w:rtl w:val="0"/>
                </w:rPr>
                <w:t xml:space="preserve">https://doi.org/10.1080/10549811.2020.1745653</w:t>
              </w:r>
            </w:hyperlink>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EP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37◦45’41’’ S; 58◦17’19’’ W, 378 m.s.n.l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De Bernardi et al., 2022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hyperlink r:id="rId8">
              <w:r w:rsidDel="00000000" w:rsidR="00000000" w:rsidRPr="00000000">
                <w:rPr>
                  <w:color w:val="1155cc"/>
                  <w:u w:val="single"/>
                  <w:rtl w:val="0"/>
                </w:rPr>
                <w:t xml:space="preserve">https://doi.org/10.1016/j.agee.2022.107866</w:t>
              </w:r>
            </w:hyperlink>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Sampling dates are the same as presented in De Bernardi et al. (2019, 2020 and 2022).</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1.2 Static Chamber technique and N2O flux measurement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static chamber technique used in this work is detailed in De Bernardi et al. (2019, 2020 and 2022). To calculate the N2O flux, the slope from the linear regression “N</w:t>
      </w:r>
      <w:r w:rsidDel="00000000" w:rsidR="00000000" w:rsidRPr="00000000">
        <w:rPr>
          <w:vertAlign w:val="subscript"/>
          <w:rtl w:val="0"/>
        </w:rPr>
        <w:t xml:space="preserve">2</w:t>
      </w:r>
      <w:r w:rsidDel="00000000" w:rsidR="00000000" w:rsidRPr="00000000">
        <w:rPr>
          <w:rtl w:val="0"/>
        </w:rPr>
        <w:t xml:space="preserve">O concentration vs time” was considered valid when </w:t>
      </w:r>
      <w:r w:rsidDel="00000000" w:rsidR="00000000" w:rsidRPr="00000000">
        <w:rPr>
          <w:rtl w:val="0"/>
        </w:rPr>
        <w:t xml:space="preserve">R</w:t>
      </w:r>
      <w:r w:rsidDel="00000000" w:rsidR="00000000" w:rsidRPr="00000000">
        <w:rPr>
          <w:vertAlign w:val="superscript"/>
          <w:rtl w:val="0"/>
        </w:rPr>
        <w:t xml:space="preserve">2</w:t>
      </w:r>
      <w:r w:rsidDel="00000000" w:rsidR="00000000" w:rsidRPr="00000000">
        <w:rPr>
          <w:rtl w:val="0"/>
        </w:rPr>
        <w:t xml:space="preserve"> &gt; 0.75; also, when R</w:t>
      </w:r>
      <w:r w:rsidDel="00000000" w:rsidR="00000000" w:rsidRPr="00000000">
        <w:rPr>
          <w:vertAlign w:val="superscript"/>
          <w:rtl w:val="0"/>
        </w:rPr>
        <w:t xml:space="preserve">2</w:t>
      </w:r>
      <w:r w:rsidDel="00000000" w:rsidR="00000000" w:rsidRPr="00000000">
        <w:rPr>
          <w:rtl w:val="0"/>
        </w:rPr>
        <w:t xml:space="preserve"> &lt; 0.75 and the coefficient of variation (%CV) &lt; 5% -gas chromatograph detection limit- among the four samples of each chambe, N2O flux was considered 0 ng N</w:t>
      </w:r>
      <w:r w:rsidDel="00000000" w:rsidR="00000000" w:rsidRPr="00000000">
        <w:rPr>
          <w:vertAlign w:val="subscript"/>
          <w:rtl w:val="0"/>
        </w:rPr>
        <w:t xml:space="preserve">2</w:t>
      </w:r>
      <w:r w:rsidDel="00000000" w:rsidR="00000000" w:rsidRPr="00000000">
        <w:rPr>
          <w:rtl w:val="0"/>
        </w:rPr>
        <w:t xml:space="preserve">O m</w:t>
      </w:r>
      <w:r w:rsidDel="00000000" w:rsidR="00000000" w:rsidRPr="00000000">
        <w:rPr>
          <w:vertAlign w:val="superscript"/>
          <w:rtl w:val="0"/>
        </w:rPr>
        <w:t xml:space="preserve">-2</w:t>
      </w:r>
      <w:r w:rsidDel="00000000" w:rsidR="00000000" w:rsidRPr="00000000">
        <w:rPr>
          <w:rtl w:val="0"/>
        </w:rPr>
        <w:t xml:space="preserve"> s</w:t>
      </w:r>
      <w:r w:rsidDel="00000000" w:rsidR="00000000" w:rsidRPr="00000000">
        <w:rPr>
          <w:vertAlign w:val="superscript"/>
          <w:rtl w:val="0"/>
        </w:rPr>
        <w:t xml:space="preserve">-1</w:t>
      </w:r>
      <w:r w:rsidDel="00000000" w:rsidR="00000000" w:rsidRPr="00000000">
        <w:rPr>
          <w:vertAlign w:val="subscript"/>
          <w:rtl w:val="0"/>
        </w:rPr>
        <w:t xml:space="preserve">.</w:t>
      </w: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Soil parameters and air temperature methodology are also presented in De Bernardi et al. (2019, 2020 and 2022) and De Bernardi (2020).</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References</w:t>
      </w:r>
    </w:p>
    <w:p w:rsidR="00000000" w:rsidDel="00000000" w:rsidP="00000000" w:rsidRDefault="00000000" w:rsidRPr="00000000" w14:paraId="00000036">
      <w:pPr>
        <w:rPr/>
      </w:pPr>
      <w:r w:rsidDel="00000000" w:rsidR="00000000" w:rsidRPr="00000000">
        <w:rPr>
          <w:rtl w:val="0"/>
        </w:rPr>
        <w:t xml:space="preserve">De Bernardi M., 2020. </w:t>
      </w:r>
      <w:hyperlink r:id="rId9">
        <w:r w:rsidDel="00000000" w:rsidR="00000000" w:rsidRPr="00000000">
          <w:rPr>
            <w:color w:val="1155cc"/>
            <w:u w:val="single"/>
            <w:rtl w:val="0"/>
          </w:rPr>
          <w:t xml:space="preserve">https://doi.org/10.52278/2408</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 Bernardi M., et al. 2019. </w:t>
      </w:r>
      <w:hyperlink r:id="rId10">
        <w:r w:rsidDel="00000000" w:rsidR="00000000" w:rsidRPr="00000000">
          <w:rPr>
            <w:color w:val="1155cc"/>
            <w:u w:val="single"/>
            <w:rtl w:val="0"/>
          </w:rPr>
          <w:t xml:space="preserve">https://doi.org/10.1016/j.geodrs.2019.e00230</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De Bernardi M., et al. 2020. </w:t>
      </w:r>
      <w:hyperlink r:id="rId11">
        <w:r w:rsidDel="00000000" w:rsidR="00000000" w:rsidRPr="00000000">
          <w:rPr>
            <w:color w:val="1155cc"/>
            <w:u w:val="single"/>
            <w:rtl w:val="0"/>
          </w:rPr>
          <w:t xml:space="preserve">https://doi.org/10.1080/10549811.2020.1745653</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De Bernardi M., et al. 2022. </w:t>
      </w:r>
      <w:hyperlink r:id="rId12">
        <w:r w:rsidDel="00000000" w:rsidR="00000000" w:rsidRPr="00000000">
          <w:rPr>
            <w:color w:val="1155cc"/>
            <w:u w:val="single"/>
            <w:rtl w:val="0"/>
          </w:rPr>
          <w:t xml:space="preserve">https://doi.org/10.1016/j.agee.2022.107866</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080/10549811.2020.1745653" TargetMode="External"/><Relationship Id="rId10" Type="http://schemas.openxmlformats.org/officeDocument/2006/relationships/hyperlink" Target="https://doi.org/10.1016/j.geodrs.2019.e00230" TargetMode="External"/><Relationship Id="rId12" Type="http://schemas.openxmlformats.org/officeDocument/2006/relationships/hyperlink" Target="https://doi.org/10.1016/j.agee.2022.107866" TargetMode="External"/><Relationship Id="rId9" Type="http://schemas.openxmlformats.org/officeDocument/2006/relationships/hyperlink" Target="https://doi.org/10.52278/2408" TargetMode="External"/><Relationship Id="rId5" Type="http://schemas.openxmlformats.org/officeDocument/2006/relationships/styles" Target="styles.xml"/><Relationship Id="rId6" Type="http://schemas.openxmlformats.org/officeDocument/2006/relationships/hyperlink" Target="https://doi.org/10.1016/j.geodrs.2019.e00230" TargetMode="External"/><Relationship Id="rId7" Type="http://schemas.openxmlformats.org/officeDocument/2006/relationships/hyperlink" Target="https://doi.org/10.1080/10549811.2020.1745653" TargetMode="External"/><Relationship Id="rId8" Type="http://schemas.openxmlformats.org/officeDocument/2006/relationships/hyperlink" Target="https://doi.org/10.1016/j.agee.2022.107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