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7D2" w:rsidRPr="0091342C" w:rsidRDefault="0091342C">
      <w:pPr>
        <w:rPr>
          <w:b/>
          <w:u w:val="single"/>
          <w:lang w:val="en-US"/>
        </w:rPr>
      </w:pPr>
      <w:r w:rsidRPr="0091342C">
        <w:rPr>
          <w:b/>
          <w:u w:val="single"/>
          <w:lang w:val="en-US"/>
        </w:rPr>
        <w:t>Metadata file</w:t>
      </w:r>
    </w:p>
    <w:p w:rsidR="00C33FEB" w:rsidRPr="0091342C" w:rsidRDefault="00C33FEB" w:rsidP="000A7FC4">
      <w:pPr>
        <w:rPr>
          <w:b/>
          <w:sz w:val="28"/>
          <w:lang w:val="en-US"/>
        </w:rPr>
      </w:pPr>
      <w:r w:rsidRPr="0091342C">
        <w:rPr>
          <w:b/>
          <w:sz w:val="28"/>
          <w:lang w:val="en-US"/>
        </w:rPr>
        <w:t>Title</w:t>
      </w:r>
    </w:p>
    <w:p w:rsidR="008828E2" w:rsidRPr="0091342C" w:rsidRDefault="008828E2" w:rsidP="00C33FEB">
      <w:pPr>
        <w:rPr>
          <w:lang w:val="en-US"/>
        </w:rPr>
      </w:pPr>
      <w:r w:rsidRPr="0091342C">
        <w:rPr>
          <w:lang w:val="en-US"/>
        </w:rPr>
        <w:t>Solid-state fermentation of wheat with edible and m</w:t>
      </w:r>
      <w:r w:rsidR="00402420" w:rsidRPr="0091342C">
        <w:rPr>
          <w:lang w:val="en-US"/>
        </w:rPr>
        <w:t>edicinal f</w:t>
      </w:r>
      <w:r w:rsidRPr="0091342C">
        <w:rPr>
          <w:lang w:val="en-US"/>
        </w:rPr>
        <w:t xml:space="preserve">ungi: </w:t>
      </w:r>
      <w:r w:rsidR="00402420" w:rsidRPr="0091342C">
        <w:rPr>
          <w:lang w:val="en-US"/>
        </w:rPr>
        <w:t>s</w:t>
      </w:r>
      <w:r w:rsidRPr="0091342C">
        <w:rPr>
          <w:lang w:val="en-US"/>
        </w:rPr>
        <w:t>pecies-</w:t>
      </w:r>
      <w:r w:rsidR="00402420" w:rsidRPr="0091342C">
        <w:rPr>
          <w:lang w:val="en-US"/>
        </w:rPr>
        <w:t>s</w:t>
      </w:r>
      <w:r w:rsidRPr="0091342C">
        <w:rPr>
          <w:lang w:val="en-US"/>
        </w:rPr>
        <w:t xml:space="preserve">pecific </w:t>
      </w:r>
      <w:r w:rsidR="00402420" w:rsidRPr="0091342C">
        <w:rPr>
          <w:lang w:val="en-US"/>
        </w:rPr>
        <w:t>a</w:t>
      </w:r>
      <w:r w:rsidRPr="0091342C">
        <w:rPr>
          <w:lang w:val="en-US"/>
        </w:rPr>
        <w:t xml:space="preserve">ccumulation of </w:t>
      </w:r>
      <w:r w:rsidR="00402420" w:rsidRPr="0091342C">
        <w:rPr>
          <w:lang w:val="en-US"/>
        </w:rPr>
        <w:t>e</w:t>
      </w:r>
      <w:r w:rsidRPr="0091342C">
        <w:rPr>
          <w:lang w:val="en-US"/>
        </w:rPr>
        <w:t xml:space="preserve">rgothioneine and </w:t>
      </w:r>
      <w:proofErr w:type="spellStart"/>
      <w:r w:rsidR="00402420" w:rsidRPr="0091342C">
        <w:rPr>
          <w:lang w:val="en-US"/>
        </w:rPr>
        <w:t>p</w:t>
      </w:r>
      <w:r w:rsidRPr="0091342C">
        <w:rPr>
          <w:lang w:val="en-US"/>
        </w:rPr>
        <w:t>henolics</w:t>
      </w:r>
      <w:proofErr w:type="spellEnd"/>
      <w:r w:rsidRPr="0091342C">
        <w:rPr>
          <w:lang w:val="en-US"/>
        </w:rPr>
        <w:t xml:space="preserve"> as </w:t>
      </w:r>
      <w:r w:rsidR="00402420" w:rsidRPr="0091342C">
        <w:rPr>
          <w:lang w:val="en-US"/>
        </w:rPr>
        <w:t>d</w:t>
      </w:r>
      <w:r w:rsidRPr="0091342C">
        <w:rPr>
          <w:lang w:val="en-US"/>
        </w:rPr>
        <w:t xml:space="preserve">rivers of </w:t>
      </w:r>
      <w:r w:rsidR="00402420" w:rsidRPr="0091342C">
        <w:rPr>
          <w:lang w:val="en-US"/>
        </w:rPr>
        <w:t>e</w:t>
      </w:r>
      <w:r w:rsidRPr="0091342C">
        <w:rPr>
          <w:lang w:val="en-US"/>
        </w:rPr>
        <w:t xml:space="preserve">nhanced </w:t>
      </w:r>
      <w:r w:rsidR="00402420" w:rsidRPr="0091342C">
        <w:rPr>
          <w:lang w:val="en-US"/>
        </w:rPr>
        <w:t>a</w:t>
      </w:r>
      <w:r w:rsidRPr="0091342C">
        <w:rPr>
          <w:lang w:val="en-US"/>
        </w:rPr>
        <w:t xml:space="preserve">ntioxidant </w:t>
      </w:r>
      <w:r w:rsidR="00402420" w:rsidRPr="0091342C">
        <w:rPr>
          <w:lang w:val="en-US"/>
        </w:rPr>
        <w:t>c</w:t>
      </w:r>
      <w:r w:rsidRPr="0091342C">
        <w:rPr>
          <w:lang w:val="en-US"/>
        </w:rPr>
        <w:t>apacity</w:t>
      </w:r>
    </w:p>
    <w:p w:rsidR="00C33FEB" w:rsidRPr="0091342C" w:rsidRDefault="00C33FEB" w:rsidP="00C33FEB">
      <w:pPr>
        <w:rPr>
          <w:b/>
          <w:sz w:val="28"/>
          <w:lang w:val="en-US"/>
        </w:rPr>
      </w:pPr>
      <w:r w:rsidRPr="0091342C">
        <w:rPr>
          <w:b/>
          <w:sz w:val="28"/>
          <w:lang w:val="en-US"/>
        </w:rPr>
        <w:t>Authors</w:t>
      </w:r>
    </w:p>
    <w:p w:rsidR="00C33FEB" w:rsidRPr="0091342C" w:rsidRDefault="00C33FEB" w:rsidP="00C33FEB">
      <w:pPr>
        <w:rPr>
          <w:rFonts w:cstheme="minorHAnsi"/>
          <w:lang w:val="en-US"/>
        </w:rPr>
      </w:pPr>
      <w:r w:rsidRPr="0091342C">
        <w:rPr>
          <w:rFonts w:cstheme="minorHAnsi"/>
          <w:lang w:val="en-US"/>
        </w:rPr>
        <w:t xml:space="preserve">Mariano M. </w:t>
      </w:r>
      <w:proofErr w:type="spellStart"/>
      <w:r w:rsidRPr="0091342C">
        <w:rPr>
          <w:rFonts w:cstheme="minorHAnsi"/>
          <w:lang w:val="en-US"/>
        </w:rPr>
        <w:t>Pascual</w:t>
      </w:r>
      <w:r w:rsidRPr="0091342C">
        <w:rPr>
          <w:rFonts w:cstheme="minorHAnsi"/>
          <w:vertAlign w:val="superscript"/>
          <w:lang w:val="en-US"/>
        </w:rPr>
        <w:t>a</w:t>
      </w:r>
      <w:proofErr w:type="spellEnd"/>
      <w:r w:rsidRPr="0091342C">
        <w:rPr>
          <w:rFonts w:cstheme="minorHAnsi"/>
          <w:lang w:val="en-US"/>
        </w:rPr>
        <w:t xml:space="preserve">, Sandra </w:t>
      </w:r>
      <w:proofErr w:type="spellStart"/>
      <w:r w:rsidRPr="0091342C">
        <w:rPr>
          <w:rFonts w:cstheme="minorHAnsi"/>
          <w:lang w:val="en-US"/>
        </w:rPr>
        <w:t>Mafla</w:t>
      </w:r>
      <w:proofErr w:type="spellEnd"/>
      <w:r w:rsidR="00850A37">
        <w:rPr>
          <w:rFonts w:cstheme="minorHAnsi"/>
          <w:lang w:val="en-US"/>
        </w:rPr>
        <w:t xml:space="preserve"> </w:t>
      </w:r>
      <w:proofErr w:type="spellStart"/>
      <w:r w:rsidR="00850A37">
        <w:rPr>
          <w:rFonts w:cstheme="minorHAnsi"/>
          <w:lang w:val="en-US"/>
        </w:rPr>
        <w:t>Mejía</w:t>
      </w:r>
      <w:r w:rsidRPr="0091342C">
        <w:rPr>
          <w:rFonts w:cstheme="minorHAnsi"/>
          <w:vertAlign w:val="superscript"/>
          <w:lang w:val="en-US"/>
        </w:rPr>
        <w:t>a</w:t>
      </w:r>
      <w:proofErr w:type="spellEnd"/>
      <w:r w:rsidRPr="0091342C">
        <w:rPr>
          <w:rFonts w:cstheme="minorHAnsi"/>
          <w:lang w:val="en-US"/>
        </w:rPr>
        <w:t xml:space="preserve">, Gabriela </w:t>
      </w:r>
      <w:proofErr w:type="spellStart"/>
      <w:r w:rsidRPr="0091342C">
        <w:rPr>
          <w:rFonts w:cstheme="minorHAnsi"/>
          <w:lang w:val="en-US"/>
        </w:rPr>
        <w:t>Reiner</w:t>
      </w:r>
      <w:r w:rsidRPr="0091342C">
        <w:rPr>
          <w:rFonts w:cstheme="minorHAnsi"/>
          <w:vertAlign w:val="superscript"/>
          <w:lang w:val="en-US"/>
        </w:rPr>
        <w:t>b</w:t>
      </w:r>
      <w:proofErr w:type="spellEnd"/>
      <w:r w:rsidRPr="0091342C">
        <w:rPr>
          <w:rFonts w:cstheme="minorHAnsi"/>
          <w:lang w:val="en-US"/>
        </w:rPr>
        <w:t xml:space="preserve">, Mariana E. </w:t>
      </w:r>
      <w:proofErr w:type="spellStart"/>
      <w:r w:rsidRPr="0091342C">
        <w:rPr>
          <w:rFonts w:cstheme="minorHAnsi"/>
          <w:lang w:val="en-US"/>
        </w:rPr>
        <w:t>Langenheim</w:t>
      </w:r>
      <w:r w:rsidRPr="0091342C">
        <w:rPr>
          <w:rFonts w:cstheme="minorHAnsi"/>
          <w:vertAlign w:val="superscript"/>
          <w:lang w:val="en-US"/>
        </w:rPr>
        <w:t>b</w:t>
      </w:r>
      <w:proofErr w:type="spellEnd"/>
      <w:r w:rsidRPr="0091342C">
        <w:rPr>
          <w:rFonts w:cstheme="minorHAnsi"/>
          <w:lang w:val="en-US"/>
        </w:rPr>
        <w:t xml:space="preserve">, Pablo </w:t>
      </w:r>
      <w:proofErr w:type="spellStart"/>
      <w:r w:rsidRPr="0091342C">
        <w:rPr>
          <w:rFonts w:cstheme="minorHAnsi"/>
          <w:lang w:val="en-US"/>
        </w:rPr>
        <w:t>Hualde</w:t>
      </w:r>
      <w:r w:rsidRPr="0091342C">
        <w:rPr>
          <w:rFonts w:cstheme="minorHAnsi"/>
          <w:vertAlign w:val="superscript"/>
          <w:lang w:val="en-US"/>
        </w:rPr>
        <w:t>c</w:t>
      </w:r>
      <w:proofErr w:type="spellEnd"/>
      <w:r w:rsidRPr="0091342C">
        <w:rPr>
          <w:rFonts w:cstheme="minorHAnsi"/>
          <w:lang w:val="en-US"/>
        </w:rPr>
        <w:t xml:space="preserve">, Carlos M. </w:t>
      </w:r>
      <w:proofErr w:type="spellStart"/>
      <w:r w:rsidRPr="0091342C">
        <w:rPr>
          <w:rFonts w:cstheme="minorHAnsi"/>
          <w:lang w:val="en-US"/>
        </w:rPr>
        <w:t>Luquet</w:t>
      </w:r>
      <w:r w:rsidRPr="0091342C">
        <w:rPr>
          <w:rFonts w:cstheme="minorHAnsi"/>
          <w:vertAlign w:val="superscript"/>
          <w:lang w:val="en-US"/>
        </w:rPr>
        <w:t>a</w:t>
      </w:r>
      <w:proofErr w:type="spellEnd"/>
    </w:p>
    <w:p w:rsidR="00C33FEB" w:rsidRPr="0091342C" w:rsidRDefault="00C33FEB" w:rsidP="00402420">
      <w:pPr>
        <w:jc w:val="both"/>
        <w:rPr>
          <w:rFonts w:cstheme="minorHAnsi"/>
          <w:lang w:val="en-US"/>
        </w:rPr>
      </w:pPr>
      <w:r w:rsidRPr="0091342C">
        <w:rPr>
          <w:rFonts w:cstheme="minorHAnsi"/>
          <w:vertAlign w:val="superscript"/>
          <w:lang w:val="en-US"/>
        </w:rPr>
        <w:t>a</w:t>
      </w:r>
      <w:r w:rsidRPr="0091342C">
        <w:rPr>
          <w:rFonts w:cstheme="minorHAnsi"/>
          <w:lang w:val="en-US"/>
        </w:rPr>
        <w:t xml:space="preserve"> </w:t>
      </w:r>
      <w:proofErr w:type="spellStart"/>
      <w:r w:rsidRPr="0091342C">
        <w:rPr>
          <w:rFonts w:cstheme="minorHAnsi"/>
          <w:lang w:val="en-US"/>
        </w:rPr>
        <w:t>Laboratorio</w:t>
      </w:r>
      <w:proofErr w:type="spellEnd"/>
      <w:r w:rsidRPr="0091342C">
        <w:rPr>
          <w:rFonts w:cstheme="minorHAnsi"/>
          <w:lang w:val="en-US"/>
        </w:rPr>
        <w:t xml:space="preserve"> de </w:t>
      </w:r>
      <w:proofErr w:type="spellStart"/>
      <w:r w:rsidRPr="0091342C">
        <w:rPr>
          <w:rFonts w:cstheme="minorHAnsi"/>
          <w:lang w:val="en-US"/>
        </w:rPr>
        <w:t>Ecotoxicología</w:t>
      </w:r>
      <w:proofErr w:type="spellEnd"/>
      <w:r w:rsidRPr="0091342C">
        <w:rPr>
          <w:rFonts w:cstheme="minorHAnsi"/>
          <w:lang w:val="en-US"/>
        </w:rPr>
        <w:t xml:space="preserve"> </w:t>
      </w:r>
      <w:proofErr w:type="spellStart"/>
      <w:r w:rsidRPr="0091342C">
        <w:rPr>
          <w:rFonts w:cstheme="minorHAnsi"/>
          <w:lang w:val="en-US"/>
        </w:rPr>
        <w:t>Acuática</w:t>
      </w:r>
      <w:proofErr w:type="spellEnd"/>
      <w:r w:rsidRPr="0091342C">
        <w:rPr>
          <w:rFonts w:cstheme="minorHAnsi"/>
          <w:lang w:val="en-US"/>
        </w:rPr>
        <w:t>, INIBIOMA (CONICET-</w:t>
      </w:r>
      <w:proofErr w:type="spellStart"/>
      <w:r w:rsidRPr="0091342C">
        <w:rPr>
          <w:rFonts w:cstheme="minorHAnsi"/>
          <w:lang w:val="en-US"/>
        </w:rPr>
        <w:t>UNCo</w:t>
      </w:r>
      <w:proofErr w:type="spellEnd"/>
      <w:r w:rsidRPr="0091342C">
        <w:rPr>
          <w:rFonts w:cstheme="minorHAnsi"/>
          <w:lang w:val="en-US"/>
        </w:rPr>
        <w:t xml:space="preserve">)-CEAN, Junín de </w:t>
      </w:r>
      <w:proofErr w:type="spellStart"/>
      <w:r w:rsidRPr="0091342C">
        <w:rPr>
          <w:rFonts w:cstheme="minorHAnsi"/>
          <w:lang w:val="en-US"/>
        </w:rPr>
        <w:t>los</w:t>
      </w:r>
      <w:proofErr w:type="spellEnd"/>
      <w:r w:rsidRPr="0091342C">
        <w:rPr>
          <w:rFonts w:cstheme="minorHAnsi"/>
          <w:lang w:val="en-US"/>
        </w:rPr>
        <w:t xml:space="preserve"> Andes, Neuquén, Argentina.</w:t>
      </w:r>
    </w:p>
    <w:p w:rsidR="00C33FEB" w:rsidRPr="0091342C" w:rsidRDefault="00C33FEB" w:rsidP="00402420">
      <w:pPr>
        <w:jc w:val="both"/>
        <w:rPr>
          <w:rFonts w:cstheme="minorHAnsi"/>
          <w:lang w:val="en-US"/>
        </w:rPr>
      </w:pPr>
      <w:r w:rsidRPr="0091342C">
        <w:rPr>
          <w:rFonts w:cstheme="minorHAnsi"/>
          <w:vertAlign w:val="superscript"/>
          <w:lang w:val="en-US"/>
        </w:rPr>
        <w:t>b</w:t>
      </w:r>
      <w:r w:rsidRPr="0091342C">
        <w:rPr>
          <w:rFonts w:cstheme="minorHAnsi"/>
          <w:lang w:val="en-US"/>
        </w:rPr>
        <w:t xml:space="preserve"> </w:t>
      </w:r>
      <w:proofErr w:type="spellStart"/>
      <w:r w:rsidRPr="0091342C">
        <w:rPr>
          <w:rFonts w:cstheme="minorHAnsi"/>
          <w:lang w:val="en-US"/>
        </w:rPr>
        <w:t>Instituto</w:t>
      </w:r>
      <w:proofErr w:type="spellEnd"/>
      <w:r w:rsidRPr="0091342C">
        <w:rPr>
          <w:rFonts w:cstheme="minorHAnsi"/>
          <w:lang w:val="en-US"/>
        </w:rPr>
        <w:t xml:space="preserve"> de </w:t>
      </w:r>
      <w:proofErr w:type="spellStart"/>
      <w:r w:rsidRPr="0091342C">
        <w:rPr>
          <w:rFonts w:cstheme="minorHAnsi"/>
          <w:lang w:val="en-US"/>
        </w:rPr>
        <w:t>Investigaciones</w:t>
      </w:r>
      <w:proofErr w:type="spellEnd"/>
      <w:r w:rsidRPr="0091342C">
        <w:rPr>
          <w:rFonts w:cstheme="minorHAnsi"/>
          <w:lang w:val="en-US"/>
        </w:rPr>
        <w:t xml:space="preserve"> </w:t>
      </w:r>
      <w:proofErr w:type="spellStart"/>
      <w:r w:rsidRPr="0091342C">
        <w:rPr>
          <w:rFonts w:cstheme="minorHAnsi"/>
          <w:lang w:val="en-US"/>
        </w:rPr>
        <w:t>en</w:t>
      </w:r>
      <w:proofErr w:type="spellEnd"/>
      <w:r w:rsidRPr="0091342C">
        <w:rPr>
          <w:rFonts w:cstheme="minorHAnsi"/>
          <w:lang w:val="en-US"/>
        </w:rPr>
        <w:t xml:space="preserve"> </w:t>
      </w:r>
      <w:proofErr w:type="spellStart"/>
      <w:r w:rsidRPr="0091342C">
        <w:rPr>
          <w:rFonts w:cstheme="minorHAnsi"/>
          <w:lang w:val="en-US"/>
        </w:rPr>
        <w:t>Biodiversidad</w:t>
      </w:r>
      <w:proofErr w:type="spellEnd"/>
      <w:r w:rsidRPr="0091342C">
        <w:rPr>
          <w:rFonts w:cstheme="minorHAnsi"/>
          <w:lang w:val="en-US"/>
        </w:rPr>
        <w:t xml:space="preserve"> y </w:t>
      </w:r>
      <w:proofErr w:type="spellStart"/>
      <w:r w:rsidRPr="0091342C">
        <w:rPr>
          <w:rFonts w:cstheme="minorHAnsi"/>
          <w:lang w:val="en-US"/>
        </w:rPr>
        <w:t>Medioambiente</w:t>
      </w:r>
      <w:proofErr w:type="spellEnd"/>
      <w:r w:rsidRPr="0091342C">
        <w:rPr>
          <w:rFonts w:cstheme="minorHAnsi"/>
          <w:lang w:val="en-US"/>
        </w:rPr>
        <w:t>, INIBIOMA (CONICET-</w:t>
      </w:r>
      <w:proofErr w:type="spellStart"/>
      <w:r w:rsidRPr="0091342C">
        <w:rPr>
          <w:rFonts w:cstheme="minorHAnsi"/>
          <w:lang w:val="en-US"/>
        </w:rPr>
        <w:t>UNCo</w:t>
      </w:r>
      <w:proofErr w:type="spellEnd"/>
      <w:r w:rsidRPr="0091342C">
        <w:rPr>
          <w:rFonts w:cstheme="minorHAnsi"/>
          <w:lang w:val="en-US"/>
        </w:rPr>
        <w:t xml:space="preserve">), </w:t>
      </w:r>
      <w:proofErr w:type="spellStart"/>
      <w:r w:rsidRPr="0091342C">
        <w:rPr>
          <w:rFonts w:cstheme="minorHAnsi"/>
          <w:lang w:val="en-US"/>
        </w:rPr>
        <w:t>Bariloche</w:t>
      </w:r>
      <w:proofErr w:type="spellEnd"/>
      <w:r w:rsidRPr="0091342C">
        <w:rPr>
          <w:rFonts w:cstheme="minorHAnsi"/>
          <w:lang w:val="en-US"/>
        </w:rPr>
        <w:t>, Río Negro, Argentina</w:t>
      </w:r>
    </w:p>
    <w:p w:rsidR="00C33FEB" w:rsidRPr="0091342C" w:rsidRDefault="00C33FEB" w:rsidP="00402420">
      <w:pPr>
        <w:jc w:val="both"/>
        <w:rPr>
          <w:rFonts w:cstheme="minorHAnsi"/>
          <w:lang w:val="en-US"/>
        </w:rPr>
      </w:pPr>
      <w:r w:rsidRPr="0091342C">
        <w:rPr>
          <w:rFonts w:cstheme="minorHAnsi"/>
          <w:vertAlign w:val="superscript"/>
          <w:lang w:val="en-US"/>
        </w:rPr>
        <w:t>c</w:t>
      </w:r>
      <w:r w:rsidRPr="0091342C">
        <w:rPr>
          <w:rFonts w:cstheme="minorHAnsi"/>
          <w:lang w:val="en-US"/>
        </w:rPr>
        <w:t xml:space="preserve"> </w:t>
      </w:r>
      <w:proofErr w:type="spellStart"/>
      <w:r w:rsidRPr="0091342C">
        <w:rPr>
          <w:rFonts w:cstheme="minorHAnsi"/>
          <w:lang w:val="en-US"/>
        </w:rPr>
        <w:t>Laboratorio</w:t>
      </w:r>
      <w:proofErr w:type="spellEnd"/>
      <w:r w:rsidRPr="0091342C">
        <w:rPr>
          <w:rFonts w:cstheme="minorHAnsi"/>
          <w:lang w:val="en-US"/>
        </w:rPr>
        <w:t xml:space="preserve"> de </w:t>
      </w:r>
      <w:proofErr w:type="spellStart"/>
      <w:r w:rsidRPr="0091342C">
        <w:rPr>
          <w:rFonts w:cstheme="minorHAnsi"/>
          <w:lang w:val="en-US"/>
        </w:rPr>
        <w:t>Nutrición</w:t>
      </w:r>
      <w:proofErr w:type="spellEnd"/>
      <w:r w:rsidRPr="0091342C">
        <w:rPr>
          <w:rFonts w:cstheme="minorHAnsi"/>
          <w:lang w:val="en-US"/>
        </w:rPr>
        <w:t xml:space="preserve">, CEAN, Junín de </w:t>
      </w:r>
      <w:proofErr w:type="spellStart"/>
      <w:r w:rsidRPr="0091342C">
        <w:rPr>
          <w:rFonts w:cstheme="minorHAnsi"/>
          <w:lang w:val="en-US"/>
        </w:rPr>
        <w:t>los</w:t>
      </w:r>
      <w:proofErr w:type="spellEnd"/>
      <w:r w:rsidRPr="0091342C">
        <w:rPr>
          <w:rFonts w:cstheme="minorHAnsi"/>
          <w:lang w:val="en-US"/>
        </w:rPr>
        <w:t xml:space="preserve"> Andes, Neuquén, Argentina.</w:t>
      </w:r>
    </w:p>
    <w:p w:rsidR="00316AAC" w:rsidRPr="0091342C" w:rsidRDefault="00316AAC" w:rsidP="000B778F">
      <w:pPr>
        <w:spacing w:before="120" w:line="360" w:lineRule="auto"/>
        <w:jc w:val="both"/>
        <w:rPr>
          <w:rFonts w:ascii="Calibri" w:hAnsi="Calibri" w:cs="Calibri"/>
          <w:b/>
          <w:sz w:val="28"/>
          <w:lang w:val="en-US"/>
        </w:rPr>
      </w:pPr>
      <w:r w:rsidRPr="0091342C">
        <w:rPr>
          <w:rFonts w:ascii="Calibri" w:hAnsi="Calibri" w:cs="Calibri"/>
          <w:b/>
          <w:sz w:val="28"/>
          <w:lang w:val="en-US"/>
        </w:rPr>
        <w:t>Objective</w:t>
      </w:r>
    </w:p>
    <w:p w:rsidR="006301B3" w:rsidRPr="0091342C" w:rsidRDefault="00B04B78" w:rsidP="006301B3">
      <w:pPr>
        <w:spacing w:line="360" w:lineRule="auto"/>
        <w:ind w:firstLine="708"/>
        <w:jc w:val="both"/>
        <w:rPr>
          <w:rFonts w:ascii="Calibri" w:hAnsi="Calibri" w:cs="Calibri"/>
          <w:lang w:val="en-US"/>
        </w:rPr>
      </w:pPr>
      <w:r w:rsidRPr="0091342C">
        <w:rPr>
          <w:lang w:val="en-US"/>
        </w:rPr>
        <w:t xml:space="preserve">The application of edible fungi in the solid-state fermentation (SSF) of cereals significantly enhances their nutritional profile by increasing nutrient concentration and bioavailability, synthesizing and releasing bioactive metabolites from the matrix, and reducing </w:t>
      </w:r>
      <w:proofErr w:type="spellStart"/>
      <w:r w:rsidRPr="0091342C">
        <w:rPr>
          <w:lang w:val="en-US"/>
        </w:rPr>
        <w:t>antinutritional</w:t>
      </w:r>
      <w:proofErr w:type="spellEnd"/>
      <w:r w:rsidRPr="0091342C">
        <w:rPr>
          <w:lang w:val="en-US"/>
        </w:rPr>
        <w:t xml:space="preserve"> factors present in the grains. </w:t>
      </w:r>
      <w:r w:rsidR="00316AAC" w:rsidRPr="0091342C">
        <w:rPr>
          <w:rFonts w:ascii="Calibri" w:hAnsi="Calibri" w:cs="Calibri"/>
          <w:lang w:val="en-US"/>
        </w:rPr>
        <w:t xml:space="preserve">This study aimed to comparatively evaluate the antioxidant enrichment of organic wheat grains </w:t>
      </w:r>
      <w:r w:rsidRPr="0091342C">
        <w:rPr>
          <w:lang w:val="en-US"/>
        </w:rPr>
        <w:t>(</w:t>
      </w:r>
      <w:proofErr w:type="spellStart"/>
      <w:r w:rsidRPr="0091342C">
        <w:rPr>
          <w:rStyle w:val="nfasis"/>
          <w:lang w:val="en-US"/>
        </w:rPr>
        <w:t>Triticum</w:t>
      </w:r>
      <w:proofErr w:type="spellEnd"/>
      <w:r w:rsidRPr="0091342C">
        <w:rPr>
          <w:rStyle w:val="nfasis"/>
          <w:lang w:val="en-US"/>
        </w:rPr>
        <w:t xml:space="preserve"> </w:t>
      </w:r>
      <w:proofErr w:type="spellStart"/>
      <w:r w:rsidRPr="0091342C">
        <w:rPr>
          <w:rStyle w:val="nfasis"/>
          <w:lang w:val="en-US"/>
        </w:rPr>
        <w:t>aestivum</w:t>
      </w:r>
      <w:proofErr w:type="spellEnd"/>
      <w:r w:rsidRPr="0091342C">
        <w:rPr>
          <w:lang w:val="en-US"/>
        </w:rPr>
        <w:t xml:space="preserve">) </w:t>
      </w:r>
      <w:r w:rsidR="00316AAC" w:rsidRPr="0091342C">
        <w:rPr>
          <w:rFonts w:ascii="Calibri" w:hAnsi="Calibri" w:cs="Calibri"/>
          <w:lang w:val="en-US"/>
        </w:rPr>
        <w:t xml:space="preserve">via SSF using eight commercial species of edible and medicinal </w:t>
      </w:r>
      <w:r w:rsidR="001610B0" w:rsidRPr="0091342C">
        <w:rPr>
          <w:rFonts w:ascii="Calibri" w:hAnsi="Calibri" w:cs="Calibri"/>
          <w:lang w:val="en-US"/>
        </w:rPr>
        <w:t>fungi</w:t>
      </w:r>
      <w:r w:rsidR="00316AAC" w:rsidRPr="0091342C">
        <w:rPr>
          <w:rFonts w:ascii="Calibri" w:hAnsi="Calibri" w:cs="Calibri"/>
          <w:lang w:val="en-US"/>
        </w:rPr>
        <w:t xml:space="preserve">: </w:t>
      </w:r>
      <w:proofErr w:type="spellStart"/>
      <w:r w:rsidR="006301B3" w:rsidRPr="0091342C">
        <w:rPr>
          <w:rFonts w:ascii="Calibri" w:hAnsi="Calibri" w:cs="Calibri"/>
          <w:i/>
          <w:lang w:val="en-US"/>
        </w:rPr>
        <w:t>Hericium</w:t>
      </w:r>
      <w:proofErr w:type="spellEnd"/>
      <w:r w:rsidR="006301B3" w:rsidRPr="0091342C">
        <w:rPr>
          <w:rFonts w:ascii="Calibri" w:hAnsi="Calibri" w:cs="Calibri"/>
          <w:i/>
          <w:lang w:val="en-US"/>
        </w:rPr>
        <w:t xml:space="preserve"> </w:t>
      </w:r>
      <w:proofErr w:type="spellStart"/>
      <w:r w:rsidR="006301B3" w:rsidRPr="0091342C">
        <w:rPr>
          <w:rFonts w:ascii="Calibri" w:hAnsi="Calibri" w:cs="Calibri"/>
          <w:i/>
          <w:lang w:val="en-US"/>
        </w:rPr>
        <w:t>erinaceus</w:t>
      </w:r>
      <w:proofErr w:type="spellEnd"/>
      <w:r w:rsidR="006301B3" w:rsidRPr="0091342C">
        <w:rPr>
          <w:rFonts w:ascii="Calibri" w:hAnsi="Calibri" w:cs="Calibri"/>
          <w:lang w:val="en-US"/>
        </w:rPr>
        <w:t xml:space="preserve"> (HE), </w:t>
      </w:r>
      <w:r w:rsidR="006301B3" w:rsidRPr="0091342C">
        <w:rPr>
          <w:rFonts w:ascii="Calibri" w:hAnsi="Calibri" w:cs="Calibri"/>
          <w:i/>
          <w:lang w:val="en-US"/>
        </w:rPr>
        <w:t xml:space="preserve">Pleurotus </w:t>
      </w:r>
      <w:proofErr w:type="spellStart"/>
      <w:r w:rsidR="006301B3" w:rsidRPr="0091342C">
        <w:rPr>
          <w:rFonts w:ascii="Calibri" w:hAnsi="Calibri" w:cs="Calibri"/>
          <w:i/>
          <w:lang w:val="en-US"/>
        </w:rPr>
        <w:t>eryngii</w:t>
      </w:r>
      <w:proofErr w:type="spellEnd"/>
      <w:r w:rsidR="006301B3" w:rsidRPr="0091342C">
        <w:rPr>
          <w:rFonts w:ascii="Calibri" w:hAnsi="Calibri" w:cs="Calibri"/>
          <w:lang w:val="en-US"/>
        </w:rPr>
        <w:t xml:space="preserve"> (PE), </w:t>
      </w:r>
      <w:r w:rsidR="006301B3" w:rsidRPr="0091342C">
        <w:rPr>
          <w:rFonts w:ascii="Calibri" w:hAnsi="Calibri" w:cs="Calibri"/>
          <w:i/>
          <w:lang w:val="en-US"/>
        </w:rPr>
        <w:t xml:space="preserve">Pleurotus </w:t>
      </w:r>
      <w:proofErr w:type="spellStart"/>
      <w:r w:rsidR="006301B3" w:rsidRPr="0091342C">
        <w:rPr>
          <w:rFonts w:ascii="Calibri" w:hAnsi="Calibri" w:cs="Calibri"/>
          <w:i/>
          <w:lang w:val="en-US"/>
        </w:rPr>
        <w:t>citrinopileatus</w:t>
      </w:r>
      <w:proofErr w:type="spellEnd"/>
      <w:r w:rsidR="006301B3" w:rsidRPr="0091342C">
        <w:rPr>
          <w:rFonts w:ascii="Calibri" w:hAnsi="Calibri" w:cs="Calibri"/>
          <w:lang w:val="en-US"/>
        </w:rPr>
        <w:t xml:space="preserve"> (PC), </w:t>
      </w:r>
      <w:proofErr w:type="spellStart"/>
      <w:r w:rsidR="006301B3" w:rsidRPr="0091342C">
        <w:rPr>
          <w:rFonts w:ascii="Calibri" w:hAnsi="Calibri" w:cs="Calibri"/>
          <w:i/>
          <w:lang w:val="en-US"/>
        </w:rPr>
        <w:t>Lentinus</w:t>
      </w:r>
      <w:proofErr w:type="spellEnd"/>
      <w:r w:rsidR="006301B3" w:rsidRPr="0091342C">
        <w:rPr>
          <w:rFonts w:ascii="Calibri" w:hAnsi="Calibri" w:cs="Calibri"/>
          <w:i/>
          <w:lang w:val="en-US"/>
        </w:rPr>
        <w:t xml:space="preserve"> </w:t>
      </w:r>
      <w:proofErr w:type="spellStart"/>
      <w:r w:rsidR="006301B3" w:rsidRPr="0091342C">
        <w:rPr>
          <w:rFonts w:ascii="Calibri" w:hAnsi="Calibri" w:cs="Calibri"/>
          <w:i/>
          <w:lang w:val="en-US"/>
        </w:rPr>
        <w:t>edodes</w:t>
      </w:r>
      <w:proofErr w:type="spellEnd"/>
      <w:r w:rsidR="006301B3" w:rsidRPr="0091342C">
        <w:rPr>
          <w:rFonts w:ascii="Calibri" w:hAnsi="Calibri" w:cs="Calibri"/>
          <w:lang w:val="en-US"/>
        </w:rPr>
        <w:t xml:space="preserve"> (LE), </w:t>
      </w:r>
      <w:r w:rsidR="006301B3" w:rsidRPr="0091342C">
        <w:rPr>
          <w:rFonts w:ascii="Calibri" w:hAnsi="Calibri" w:cs="Calibri"/>
          <w:i/>
          <w:lang w:val="en-US"/>
        </w:rPr>
        <w:t xml:space="preserve">Pleurotus </w:t>
      </w:r>
      <w:proofErr w:type="spellStart"/>
      <w:r w:rsidR="006301B3" w:rsidRPr="0091342C">
        <w:rPr>
          <w:rFonts w:ascii="Calibri" w:hAnsi="Calibri" w:cs="Calibri"/>
          <w:i/>
          <w:lang w:val="en-US"/>
        </w:rPr>
        <w:t>djamor</w:t>
      </w:r>
      <w:proofErr w:type="spellEnd"/>
      <w:r w:rsidR="006301B3" w:rsidRPr="0091342C">
        <w:rPr>
          <w:rFonts w:ascii="Calibri" w:hAnsi="Calibri" w:cs="Calibri"/>
          <w:lang w:val="en-US"/>
        </w:rPr>
        <w:t xml:space="preserve"> (PD), </w:t>
      </w:r>
      <w:r w:rsidR="006301B3" w:rsidRPr="0091342C">
        <w:rPr>
          <w:rFonts w:ascii="Calibri" w:hAnsi="Calibri" w:cs="Calibri"/>
          <w:i/>
          <w:lang w:val="en-US"/>
        </w:rPr>
        <w:t>Trametes versicolor</w:t>
      </w:r>
      <w:r w:rsidR="006301B3" w:rsidRPr="0091342C">
        <w:rPr>
          <w:rFonts w:ascii="Calibri" w:hAnsi="Calibri" w:cs="Calibri"/>
          <w:lang w:val="en-US"/>
        </w:rPr>
        <w:t xml:space="preserve"> (TV), </w:t>
      </w:r>
      <w:r w:rsidR="006301B3" w:rsidRPr="0091342C">
        <w:rPr>
          <w:rFonts w:ascii="Calibri" w:hAnsi="Calibri" w:cs="Calibri"/>
          <w:i/>
          <w:lang w:val="en-US"/>
        </w:rPr>
        <w:t>Pleurotus ostreatus</w:t>
      </w:r>
      <w:r w:rsidR="006301B3" w:rsidRPr="0091342C">
        <w:rPr>
          <w:rFonts w:ascii="Calibri" w:hAnsi="Calibri" w:cs="Calibri"/>
          <w:lang w:val="en-US"/>
        </w:rPr>
        <w:t xml:space="preserve"> var. </w:t>
      </w:r>
      <w:r w:rsidR="006301B3" w:rsidRPr="0091342C">
        <w:rPr>
          <w:rFonts w:ascii="Calibri" w:hAnsi="Calibri" w:cs="Calibri"/>
          <w:i/>
          <w:lang w:val="en-US"/>
        </w:rPr>
        <w:t>Florida</w:t>
      </w:r>
      <w:r w:rsidR="006301B3" w:rsidRPr="0091342C">
        <w:rPr>
          <w:rFonts w:ascii="Calibri" w:hAnsi="Calibri" w:cs="Calibri"/>
          <w:lang w:val="en-US"/>
        </w:rPr>
        <w:t xml:space="preserve"> (PO), and </w:t>
      </w:r>
      <w:proofErr w:type="spellStart"/>
      <w:r w:rsidR="006301B3" w:rsidRPr="0091342C">
        <w:rPr>
          <w:rFonts w:ascii="Calibri" w:hAnsi="Calibri" w:cs="Calibri"/>
          <w:i/>
          <w:lang w:val="en-US"/>
        </w:rPr>
        <w:t>Ganoderma</w:t>
      </w:r>
      <w:proofErr w:type="spellEnd"/>
      <w:r w:rsidR="006301B3" w:rsidRPr="0091342C">
        <w:rPr>
          <w:rFonts w:ascii="Calibri" w:hAnsi="Calibri" w:cs="Calibri"/>
          <w:i/>
          <w:lang w:val="en-US"/>
        </w:rPr>
        <w:t xml:space="preserve"> </w:t>
      </w:r>
      <w:proofErr w:type="spellStart"/>
      <w:r w:rsidR="006301B3" w:rsidRPr="0091342C">
        <w:rPr>
          <w:rFonts w:ascii="Calibri" w:hAnsi="Calibri" w:cs="Calibri"/>
          <w:i/>
          <w:lang w:val="en-US"/>
        </w:rPr>
        <w:t>lucidum</w:t>
      </w:r>
      <w:proofErr w:type="spellEnd"/>
      <w:r w:rsidR="006301B3" w:rsidRPr="0091342C">
        <w:rPr>
          <w:rFonts w:ascii="Calibri" w:hAnsi="Calibri" w:cs="Calibri"/>
          <w:lang w:val="en-US"/>
        </w:rPr>
        <w:t xml:space="preserve"> (GL). </w:t>
      </w:r>
      <w:r w:rsidR="00316AAC" w:rsidRPr="0091342C">
        <w:rPr>
          <w:rFonts w:ascii="Calibri" w:hAnsi="Calibri" w:cs="Calibri"/>
          <w:lang w:val="en-US"/>
        </w:rPr>
        <w:t xml:space="preserve">Specifically, we investigated </w:t>
      </w:r>
      <w:r w:rsidR="006301B3" w:rsidRPr="0091342C">
        <w:rPr>
          <w:rFonts w:ascii="Calibri" w:hAnsi="Calibri" w:cs="Calibri"/>
          <w:lang w:val="en-US"/>
        </w:rPr>
        <w:t xml:space="preserve">the total antioxidant capacity (quencher-CUPRAC) and </w:t>
      </w:r>
      <w:r w:rsidR="00316AAC" w:rsidRPr="0091342C">
        <w:rPr>
          <w:rFonts w:ascii="Calibri" w:hAnsi="Calibri" w:cs="Calibri"/>
          <w:lang w:val="en-US"/>
        </w:rPr>
        <w:t>the accumulation of ergothioneine (EGT) and total phenolic content (TPC)</w:t>
      </w:r>
      <w:r w:rsidR="006301B3" w:rsidRPr="0091342C">
        <w:rPr>
          <w:rFonts w:ascii="Calibri" w:hAnsi="Calibri" w:cs="Calibri"/>
          <w:lang w:val="en-US"/>
        </w:rPr>
        <w:t xml:space="preserve"> in the myceliated wheat matrix.</w:t>
      </w:r>
    </w:p>
    <w:p w:rsidR="000A7FC4" w:rsidRPr="0091342C" w:rsidRDefault="000A7FC4" w:rsidP="000A7FC4">
      <w:pPr>
        <w:rPr>
          <w:rFonts w:ascii="Calibri" w:hAnsi="Calibri" w:cs="Calibri"/>
          <w:b/>
          <w:sz w:val="28"/>
          <w:lang w:val="en-US"/>
        </w:rPr>
      </w:pPr>
      <w:r w:rsidRPr="0091342C">
        <w:rPr>
          <w:rFonts w:ascii="Calibri" w:hAnsi="Calibri" w:cs="Calibri"/>
          <w:b/>
          <w:sz w:val="28"/>
          <w:lang w:val="en-US"/>
        </w:rPr>
        <w:t>M</w:t>
      </w:r>
      <w:r w:rsidR="00282BB1" w:rsidRPr="0091342C">
        <w:rPr>
          <w:rFonts w:ascii="Calibri" w:hAnsi="Calibri" w:cs="Calibri"/>
          <w:b/>
          <w:sz w:val="28"/>
          <w:lang w:val="en-US"/>
        </w:rPr>
        <w:t>et</w:t>
      </w:r>
      <w:r w:rsidR="00316AAC" w:rsidRPr="0091342C">
        <w:rPr>
          <w:rFonts w:ascii="Calibri" w:hAnsi="Calibri" w:cs="Calibri"/>
          <w:b/>
          <w:sz w:val="28"/>
          <w:lang w:val="en-US"/>
        </w:rPr>
        <w:t>h</w:t>
      </w:r>
      <w:r w:rsidR="00282BB1" w:rsidRPr="0091342C">
        <w:rPr>
          <w:rFonts w:ascii="Calibri" w:hAnsi="Calibri" w:cs="Calibri"/>
          <w:b/>
          <w:sz w:val="28"/>
          <w:lang w:val="en-US"/>
        </w:rPr>
        <w:t>odology:</w:t>
      </w:r>
    </w:p>
    <w:p w:rsidR="009B1112" w:rsidRPr="0091342C" w:rsidRDefault="006301B3" w:rsidP="006301B3">
      <w:pPr>
        <w:spacing w:line="360" w:lineRule="auto"/>
        <w:ind w:firstLine="708"/>
        <w:jc w:val="both"/>
        <w:rPr>
          <w:rFonts w:ascii="Calibri" w:eastAsia="Calibri" w:hAnsi="Calibri" w:cs="Calibri"/>
          <w:lang w:val="en-US"/>
        </w:rPr>
      </w:pPr>
      <w:r w:rsidRPr="0091342C">
        <w:rPr>
          <w:rFonts w:ascii="Calibri" w:eastAsia="Calibri" w:hAnsi="Calibri" w:cs="Calibri"/>
          <w:lang w:val="en-US"/>
        </w:rPr>
        <w:t>SSF</w:t>
      </w:r>
      <w:r w:rsidR="00282BB1" w:rsidRPr="0091342C">
        <w:rPr>
          <w:rFonts w:ascii="Calibri" w:eastAsia="Calibri" w:hAnsi="Calibri" w:cs="Calibri"/>
          <w:lang w:val="en-US"/>
        </w:rPr>
        <w:t xml:space="preserve"> </w:t>
      </w:r>
      <w:r w:rsidRPr="0091342C">
        <w:rPr>
          <w:rFonts w:ascii="Calibri" w:eastAsia="Calibri" w:hAnsi="Calibri" w:cs="Calibri"/>
          <w:lang w:val="en-US"/>
        </w:rPr>
        <w:t xml:space="preserve">was performed using </w:t>
      </w:r>
      <w:r w:rsidR="009B1112" w:rsidRPr="0091342C">
        <w:rPr>
          <w:rFonts w:ascii="Calibri" w:eastAsia="Calibri" w:hAnsi="Calibri" w:cs="Calibri"/>
          <w:lang w:val="en-US"/>
        </w:rPr>
        <w:t>organically certified wheat grains (</w:t>
      </w:r>
      <w:proofErr w:type="spellStart"/>
      <w:r w:rsidR="009B1112" w:rsidRPr="0091342C">
        <w:rPr>
          <w:rFonts w:ascii="Calibri" w:eastAsia="Calibri" w:hAnsi="Calibri" w:cs="Calibri"/>
          <w:i/>
          <w:lang w:val="en-US"/>
        </w:rPr>
        <w:t>Triticum</w:t>
      </w:r>
      <w:proofErr w:type="spellEnd"/>
      <w:r w:rsidR="009B1112" w:rsidRPr="0091342C">
        <w:rPr>
          <w:rFonts w:ascii="Calibri" w:eastAsia="Calibri" w:hAnsi="Calibri" w:cs="Calibri"/>
          <w:i/>
          <w:lang w:val="en-US"/>
        </w:rPr>
        <w:t xml:space="preserve"> </w:t>
      </w:r>
      <w:proofErr w:type="spellStart"/>
      <w:r w:rsidR="009B1112" w:rsidRPr="0091342C">
        <w:rPr>
          <w:rFonts w:ascii="Calibri" w:eastAsia="Calibri" w:hAnsi="Calibri" w:cs="Calibri"/>
          <w:i/>
          <w:lang w:val="en-US"/>
        </w:rPr>
        <w:t>aestivum</w:t>
      </w:r>
      <w:proofErr w:type="spellEnd"/>
      <w:r w:rsidR="009B1112" w:rsidRPr="0091342C">
        <w:rPr>
          <w:rFonts w:ascii="Calibri" w:hAnsi="Calibri" w:cs="Calibri"/>
          <w:lang w:val="en-US"/>
        </w:rPr>
        <w:t xml:space="preserve">) </w:t>
      </w:r>
      <w:r w:rsidR="009B1112" w:rsidRPr="0091342C">
        <w:rPr>
          <w:rFonts w:ascii="Calibri" w:eastAsia="Calibri" w:hAnsi="Calibri" w:cs="Calibri"/>
          <w:lang w:val="en-US"/>
        </w:rPr>
        <w:t xml:space="preserve">conditioned </w:t>
      </w:r>
      <w:r w:rsidRPr="0091342C">
        <w:rPr>
          <w:rFonts w:ascii="Calibri" w:hAnsi="Calibri" w:cs="Calibri"/>
          <w:lang w:val="en-US"/>
        </w:rPr>
        <w:t>in polypropylene bags (120 g</w:t>
      </w:r>
      <w:r w:rsidR="00153843" w:rsidRPr="0091342C">
        <w:rPr>
          <w:rFonts w:ascii="Calibri" w:hAnsi="Calibri" w:cs="Calibri"/>
          <w:lang w:val="en-US"/>
        </w:rPr>
        <w:t xml:space="preserve"> per bag</w:t>
      </w:r>
      <w:r w:rsidRPr="0091342C">
        <w:rPr>
          <w:rFonts w:ascii="Calibri" w:hAnsi="Calibri" w:cs="Calibri"/>
          <w:lang w:val="en-US"/>
        </w:rPr>
        <w:t xml:space="preserve">) </w:t>
      </w:r>
      <w:r w:rsidRPr="0091342C">
        <w:rPr>
          <w:rFonts w:ascii="Calibri" w:eastAsia="Calibri" w:hAnsi="Calibri" w:cs="Calibri"/>
          <w:lang w:val="en-US"/>
        </w:rPr>
        <w:t xml:space="preserve">according to Pascual et al., 2025.  </w:t>
      </w:r>
      <w:r w:rsidR="00153843" w:rsidRPr="0091342C">
        <w:rPr>
          <w:rFonts w:ascii="Calibri" w:hAnsi="Calibri" w:cs="Calibri"/>
          <w:lang w:val="en-US"/>
        </w:rPr>
        <w:t xml:space="preserve">Following </w:t>
      </w:r>
      <w:r w:rsidR="009B1112" w:rsidRPr="0091342C">
        <w:rPr>
          <w:rFonts w:ascii="Calibri" w:hAnsi="Calibri" w:cs="Calibri"/>
          <w:lang w:val="en-US"/>
        </w:rPr>
        <w:t xml:space="preserve">autoclaving, </w:t>
      </w:r>
      <w:r w:rsidR="00153843" w:rsidRPr="0091342C">
        <w:rPr>
          <w:rFonts w:ascii="Calibri" w:hAnsi="Calibri" w:cs="Calibri"/>
          <w:lang w:val="en-US"/>
        </w:rPr>
        <w:t xml:space="preserve">each bag </w:t>
      </w:r>
      <w:r w:rsidR="009B1112" w:rsidRPr="0091342C">
        <w:rPr>
          <w:rFonts w:ascii="Calibri" w:hAnsi="Calibri" w:cs="Calibri"/>
          <w:lang w:val="en-US"/>
        </w:rPr>
        <w:t xml:space="preserve">was inoculated with </w:t>
      </w:r>
      <w:r w:rsidR="00153843" w:rsidRPr="0091342C">
        <w:rPr>
          <w:rFonts w:ascii="Calibri" w:hAnsi="Calibri" w:cs="Calibri"/>
          <w:lang w:val="en-US"/>
        </w:rPr>
        <w:t xml:space="preserve">12 g of </w:t>
      </w:r>
      <w:r w:rsidR="009B1112" w:rsidRPr="0091342C">
        <w:rPr>
          <w:rFonts w:ascii="Calibri" w:hAnsi="Calibri" w:cs="Calibri"/>
          <w:lang w:val="en-US"/>
        </w:rPr>
        <w:t xml:space="preserve">spawn </w:t>
      </w:r>
      <w:r w:rsidR="00153843" w:rsidRPr="0091342C">
        <w:rPr>
          <w:rFonts w:ascii="Calibri" w:hAnsi="Calibri" w:cs="Calibri"/>
          <w:lang w:val="en-US"/>
        </w:rPr>
        <w:t xml:space="preserve">from of single fungal species. The bags were </w:t>
      </w:r>
      <w:r w:rsidR="009B1112" w:rsidRPr="0091342C">
        <w:rPr>
          <w:rFonts w:ascii="Calibri" w:hAnsi="Calibri" w:cs="Calibri"/>
          <w:lang w:val="en-US"/>
        </w:rPr>
        <w:t>incubated in a growth chamber at 25°C with 60-70% humidity in darkness</w:t>
      </w:r>
      <w:r w:rsidR="00975ED3" w:rsidRPr="0091342C">
        <w:rPr>
          <w:rFonts w:ascii="Calibri" w:hAnsi="Calibri" w:cs="Calibri"/>
          <w:lang w:val="en-US"/>
        </w:rPr>
        <w:t xml:space="preserve"> for 21 days</w:t>
      </w:r>
      <w:r w:rsidR="009B1112" w:rsidRPr="0091342C">
        <w:rPr>
          <w:rFonts w:ascii="Calibri" w:hAnsi="Calibri" w:cs="Calibri"/>
          <w:lang w:val="en-US"/>
        </w:rPr>
        <w:t xml:space="preserve">. </w:t>
      </w:r>
      <w:r w:rsidR="00975ED3" w:rsidRPr="0091342C">
        <w:rPr>
          <w:rFonts w:ascii="Calibri" w:hAnsi="Calibri" w:cs="Calibri"/>
          <w:lang w:val="en-US"/>
        </w:rPr>
        <w:t xml:space="preserve">Non–inoculated bags were used as control. Each treatment </w:t>
      </w:r>
      <w:r w:rsidR="00153843" w:rsidRPr="0091342C">
        <w:rPr>
          <w:rFonts w:ascii="Calibri" w:hAnsi="Calibri" w:cs="Calibri"/>
          <w:lang w:val="en-US"/>
        </w:rPr>
        <w:t xml:space="preserve">(species) included </w:t>
      </w:r>
      <w:r w:rsidR="00975ED3" w:rsidRPr="0091342C">
        <w:rPr>
          <w:rFonts w:ascii="Calibri" w:hAnsi="Calibri" w:cs="Calibri"/>
          <w:lang w:val="en-US"/>
        </w:rPr>
        <w:t>four replicates (n = 4).</w:t>
      </w:r>
      <w:r w:rsidR="009B1112" w:rsidRPr="0091342C">
        <w:rPr>
          <w:rFonts w:ascii="Calibri" w:hAnsi="Calibri" w:cs="Calibri"/>
          <w:lang w:val="en-US"/>
        </w:rPr>
        <w:t xml:space="preserve"> </w:t>
      </w:r>
      <w:r w:rsidR="00975ED3" w:rsidRPr="0091342C">
        <w:rPr>
          <w:rFonts w:ascii="Calibri" w:hAnsi="Calibri" w:cs="Calibri"/>
          <w:lang w:val="en-US"/>
        </w:rPr>
        <w:t>T</w:t>
      </w:r>
      <w:r w:rsidR="009B1112" w:rsidRPr="0091342C">
        <w:rPr>
          <w:rFonts w:ascii="Calibri" w:hAnsi="Calibri" w:cs="Calibri"/>
          <w:lang w:val="en-US"/>
        </w:rPr>
        <w:t xml:space="preserve">he myceliated substrate was dried at 55°C for </w:t>
      </w:r>
      <w:r w:rsidR="00975ED3" w:rsidRPr="0091342C">
        <w:rPr>
          <w:rFonts w:ascii="Calibri" w:hAnsi="Calibri" w:cs="Calibri"/>
          <w:lang w:val="en-US"/>
        </w:rPr>
        <w:t>15</w:t>
      </w:r>
      <w:r w:rsidR="009B1112" w:rsidRPr="0091342C">
        <w:rPr>
          <w:rFonts w:ascii="Calibri" w:hAnsi="Calibri" w:cs="Calibri"/>
          <w:lang w:val="en-US"/>
        </w:rPr>
        <w:t xml:space="preserve"> h in a convection oven</w:t>
      </w:r>
      <w:r w:rsidR="00975ED3" w:rsidRPr="0091342C">
        <w:rPr>
          <w:rFonts w:ascii="Calibri" w:hAnsi="Calibri" w:cs="Calibri"/>
          <w:lang w:val="en-US"/>
        </w:rPr>
        <w:t xml:space="preserve"> and ground </w:t>
      </w:r>
      <w:r w:rsidR="00153843" w:rsidRPr="0091342C">
        <w:rPr>
          <w:rFonts w:ascii="Calibri" w:hAnsi="Calibri" w:cs="Calibri"/>
          <w:lang w:val="en-US"/>
        </w:rPr>
        <w:t>in</w:t>
      </w:r>
      <w:r w:rsidR="00975ED3" w:rsidRPr="0091342C">
        <w:rPr>
          <w:rFonts w:ascii="Calibri" w:hAnsi="Calibri" w:cs="Calibri"/>
          <w:lang w:val="en-US"/>
        </w:rPr>
        <w:t>to a</w:t>
      </w:r>
      <w:r w:rsidR="00153843" w:rsidRPr="0091342C">
        <w:rPr>
          <w:rFonts w:ascii="Calibri" w:hAnsi="Calibri" w:cs="Calibri"/>
          <w:lang w:val="en-US"/>
        </w:rPr>
        <w:t xml:space="preserve"> fine</w:t>
      </w:r>
      <w:r w:rsidR="00975ED3" w:rsidRPr="0091342C">
        <w:rPr>
          <w:rFonts w:ascii="Calibri" w:hAnsi="Calibri" w:cs="Calibri"/>
          <w:lang w:val="en-US"/>
        </w:rPr>
        <w:t xml:space="preserve"> powder</w:t>
      </w:r>
      <w:r w:rsidR="009B1112" w:rsidRPr="0091342C">
        <w:rPr>
          <w:rFonts w:ascii="Calibri" w:hAnsi="Calibri" w:cs="Calibri"/>
          <w:lang w:val="en-US"/>
        </w:rPr>
        <w:t xml:space="preserve">. </w:t>
      </w:r>
      <w:r w:rsidR="00975ED3" w:rsidRPr="0091342C">
        <w:rPr>
          <w:rFonts w:ascii="Calibri" w:hAnsi="Calibri" w:cs="Calibri"/>
          <w:lang w:val="en-US"/>
        </w:rPr>
        <w:t xml:space="preserve">Aqueous extracts were </w:t>
      </w:r>
      <w:r w:rsidR="00153843" w:rsidRPr="0091342C">
        <w:rPr>
          <w:rFonts w:ascii="Calibri" w:hAnsi="Calibri" w:cs="Calibri"/>
          <w:lang w:val="en-US"/>
        </w:rPr>
        <w:t xml:space="preserve">prepared </w:t>
      </w:r>
      <w:r w:rsidR="00975ED3" w:rsidRPr="0091342C">
        <w:rPr>
          <w:rFonts w:ascii="Calibri" w:hAnsi="Calibri" w:cs="Calibri"/>
          <w:lang w:val="en-US"/>
        </w:rPr>
        <w:t xml:space="preserve">for </w:t>
      </w:r>
      <w:r w:rsidR="00153843" w:rsidRPr="0091342C">
        <w:rPr>
          <w:rFonts w:ascii="Calibri" w:hAnsi="Calibri" w:cs="Calibri"/>
          <w:lang w:val="en-US"/>
        </w:rPr>
        <w:t xml:space="preserve">the determination of </w:t>
      </w:r>
      <w:r w:rsidR="00975ED3" w:rsidRPr="0091342C">
        <w:rPr>
          <w:rFonts w:ascii="Calibri" w:hAnsi="Calibri" w:cs="Calibri"/>
          <w:lang w:val="en-US"/>
        </w:rPr>
        <w:t>EGT</w:t>
      </w:r>
      <w:r w:rsidRPr="0091342C">
        <w:rPr>
          <w:rFonts w:ascii="Calibri" w:hAnsi="Calibri" w:cs="Calibri"/>
          <w:lang w:val="en-US"/>
        </w:rPr>
        <w:t xml:space="preserve"> </w:t>
      </w:r>
      <w:r w:rsidR="00153843" w:rsidRPr="0091342C">
        <w:rPr>
          <w:rFonts w:ascii="Calibri" w:hAnsi="Calibri" w:cs="Calibri"/>
          <w:lang w:val="en-US"/>
        </w:rPr>
        <w:fldChar w:fldCharType="begin"/>
      </w:r>
      <w:r w:rsidR="00153843" w:rsidRPr="0091342C">
        <w:rPr>
          <w:rFonts w:ascii="Calibri" w:hAnsi="Calibri" w:cs="Calibri"/>
          <w:lang w:val="en-US"/>
        </w:rPr>
        <w:instrText xml:space="preserve"> ADDIN ZOTERO_ITEM CSL_CITATION {"citationID":"TiofKXq8","properties":{"formattedCitation":"(Pascual et al., 2026)","plainCitation":"(Pascual et al., 2026)","noteIndex":0},"citationItems":[{"id":2960,"uris":["http://zotero.org/users/14653625/items/3FLTXFHH"],"itemData":{"id":2960,"type":"article-journal","abstract":"Brewer’s spent grain (BSG), a protein-rich agro-industrial byproduct, is underutilized in food and feed industries due in part to the presence of antinutrients such as phytic acid, which impair nutrient bioavailability. This study aimed to reduce antinutrients, improve the nutritional profile, and increase levels of bioactive compounds through solid-state fermentation (SSF) using the edible mushroom Pleurotus ostreatus over 14 and 21 days. After 21 days, mycelial growth resulted in a 39.4 % reduction in the dry mass of BSG, leading to significant nutrient shifts: protein concentration increased by 66 % (to 25.4 g/100 g), while carbohydrates and lipids decreased by 11 % and 78 %, respectively, suggesting their role as primary energy substrates. SSF achieved an 80 % reduction in phytic acid content within 14 days (from 10.4 to 2.0 mg/g), associated with increased acid-soluble phosphorus by 112 %. Additionally, the process generated significant nutraceutical value, with ergothioneine (EGT) content reaching 3.50 mg/g, a concentration similar to that observed in mushroom fruiting bodies, which showed a strong correlation with mycelial growth and with the antioxidant capacity (CUPRAC assay). In contrast, the total phenolic content rose modestly by 37 % and the antioxidant capacity measured by the ABTS method did not increase at 21 days. These findings demonstrate that P. ostreatus SSF can biotransform BSG into value-added products with potential for use as ingredients in the food and feed industries. Overall, this process supports circular bioeconomy initiatives by reducing industrial waste, promoting the sustainable use of agro-industrial byproducts, and facilitating the upcycling and valorization of BSG.","container-title":"Food and Humanity","DOI":"10.1016/j.foohum.2025.100984","ISSN":"29498244","journalAbbreviation":"Food and Humanity","language":"en","page":"100984","source":"DOI.org (Crossref)","title":"Revalorization of brewer’s spent grain through solid-state fermentation with Pleurotus ostreatus","volume":"6","author":[{"family":"Pascual","given":"Mariano M."},{"family":"Painefilú","given":"Julio C."},{"family":"Ranalli","given":"Natalia"},{"family":"Santos","given":"M. Victoria"},{"family":"Langenheim","given":"Mariana E."},{"family":"Campos","given":"Marilina"},{"family":"Jurski","given":"Valeria"},{"family":"Luquet","given":"Carlos M."}],"issued":{"date-parts":[["2026",5]]}}}],"schema":"https://github.com/citation-style-language/schema/raw/master/csl-citation.json"} </w:instrText>
      </w:r>
      <w:r w:rsidR="00153843" w:rsidRPr="0091342C">
        <w:rPr>
          <w:rFonts w:ascii="Calibri" w:hAnsi="Calibri" w:cs="Calibri"/>
          <w:lang w:val="en-US"/>
        </w:rPr>
        <w:fldChar w:fldCharType="separate"/>
      </w:r>
      <w:r w:rsidR="00153843" w:rsidRPr="0091342C">
        <w:rPr>
          <w:rFonts w:ascii="Calibri" w:hAnsi="Calibri" w:cs="Calibri"/>
          <w:lang w:val="en-US"/>
        </w:rPr>
        <w:t>(Pascual et al., 2026)</w:t>
      </w:r>
      <w:r w:rsidR="00153843" w:rsidRPr="0091342C">
        <w:rPr>
          <w:rFonts w:ascii="Calibri" w:hAnsi="Calibri" w:cs="Calibri"/>
          <w:lang w:val="en-US"/>
        </w:rPr>
        <w:fldChar w:fldCharType="end"/>
      </w:r>
      <w:r w:rsidR="00975ED3" w:rsidRPr="0091342C">
        <w:rPr>
          <w:rFonts w:ascii="Calibri" w:hAnsi="Calibri" w:cs="Calibri"/>
          <w:lang w:val="en-US"/>
        </w:rPr>
        <w:t xml:space="preserve"> and TPC</w:t>
      </w:r>
      <w:r w:rsidR="00153843" w:rsidRPr="0091342C">
        <w:rPr>
          <w:rFonts w:ascii="Calibri" w:hAnsi="Calibri" w:cs="Calibri"/>
          <w:lang w:val="en-US"/>
        </w:rPr>
        <w:t xml:space="preserve"> </w:t>
      </w:r>
      <w:r w:rsidR="00153843" w:rsidRPr="0091342C">
        <w:rPr>
          <w:rFonts w:ascii="Calibri" w:hAnsi="Calibri" w:cs="Calibri"/>
          <w:lang w:val="en-US"/>
        </w:rPr>
        <w:fldChar w:fldCharType="begin"/>
      </w:r>
      <w:r w:rsidR="00153843" w:rsidRPr="0091342C">
        <w:rPr>
          <w:rFonts w:ascii="Calibri" w:hAnsi="Calibri" w:cs="Calibri"/>
          <w:lang w:val="en-US"/>
        </w:rPr>
        <w:instrText xml:space="preserve"> ADDIN ZOTERO_ITEM CSL_CITATION {"citationID":"GHxqlzt5","properties":{"formattedCitation":"(Pascual et al., 2025)","plainCitation":"(Pascual et al., 2025)","noteIndex":0},"citationItems":[{"id":2790,"uris":["http://zotero.org/users/14653625/items/3P47IRGZ"],"itemData":{"id":2790,"type":"article-journal","abstract":"The nutritional quality of plant-based substrates can be improved through fungi-based fermentation. This study evaluates changes in the nutritional and non-nutritional composition of food substrates biotransformed with the edible mushroom Pleurotus ostreatus over time. The mycelium was cultivated on wheat grains or soybeans using solid-state fermentation, and the myceliated substrates were analyzed. Mycelium grows on both substrates but at a higher rate in wheat grains. Protein and phosphorus contents increase linearly with mycelial growth in both substrates, with final values up to 53 % and 36 % higher than the initial contents in wheat, while carbohydrates decrease linearly. Phytic acid shows a linear decrease, coinciding with 3- and 2-fold increases in wheat and soybean’s acid-soluble/total phosphorous ratio. Phenolic content and antioxidant capacity increase in both myceliated substrates, fitting logistic growth models, with 7.8- and 4.8-fold increases in wheat. This study shows that solid-state fermentation with P. ostreatus can be applied to wheat and soybeans to enhance their content of valuable nutrients and bioactive compounds and to decrease their antinutrient content. Changes in both nutritional and non-nutritional composition are linked to the extent of mycelial growth, which can be reliably evaluated by simply measuring the percentage of substrate consumption.","container-title":"Innovative Food Science &amp; Emerging Technologies","DOI":"10.1016/j.ifset.2025.104021","ISSN":"14668564","journalAbbreviation":"Innovative Food Science &amp; Emerging Technologies","language":"en","page":"104021","source":"DOI.org (Crossref)","title":"Nutritional improvement of wheat grains and soybeans by solid-state fermentation with Pleurotus ostreatus mycelium","volume":"102","author":[{"family":"Pascual","given":"Mariano M."},{"family":"Herbert","given":"Lucila T."},{"family":"Campos","given":"Marilina"},{"family":"Jurski","given":"Valeria"},{"family":"Painefilú","given":"Julio C."},{"family":"Luquet","given":"Carlos M."}],"issued":{"date-parts":[["2025",6]]}}}],"schema":"https://github.com/citation-style-language/schema/raw/master/csl-citation.json"} </w:instrText>
      </w:r>
      <w:r w:rsidR="00153843" w:rsidRPr="0091342C">
        <w:rPr>
          <w:rFonts w:ascii="Calibri" w:hAnsi="Calibri" w:cs="Calibri"/>
          <w:lang w:val="en-US"/>
        </w:rPr>
        <w:fldChar w:fldCharType="separate"/>
      </w:r>
      <w:r w:rsidR="00153843" w:rsidRPr="0091342C">
        <w:rPr>
          <w:rFonts w:ascii="Calibri" w:hAnsi="Calibri" w:cs="Calibri"/>
          <w:lang w:val="en-US"/>
        </w:rPr>
        <w:t>(Pascual et al., 2025)</w:t>
      </w:r>
      <w:r w:rsidR="00153843" w:rsidRPr="0091342C">
        <w:rPr>
          <w:rFonts w:ascii="Calibri" w:hAnsi="Calibri" w:cs="Calibri"/>
          <w:lang w:val="en-US"/>
        </w:rPr>
        <w:fldChar w:fldCharType="end"/>
      </w:r>
      <w:r w:rsidR="00975ED3" w:rsidRPr="0091342C">
        <w:rPr>
          <w:rFonts w:ascii="Calibri" w:hAnsi="Calibri" w:cs="Calibri"/>
          <w:lang w:val="en-US"/>
        </w:rPr>
        <w:t>.</w:t>
      </w:r>
    </w:p>
    <w:p w:rsidR="0070568B" w:rsidRPr="0091342C" w:rsidRDefault="0070568B" w:rsidP="0070568B">
      <w:pPr>
        <w:rPr>
          <w:rFonts w:ascii="Calibri" w:hAnsi="Calibri" w:cs="Calibri"/>
          <w:b/>
          <w:sz w:val="28"/>
          <w:lang w:val="en-US"/>
        </w:rPr>
      </w:pPr>
      <w:r w:rsidRPr="0091342C">
        <w:rPr>
          <w:rFonts w:ascii="Calibri" w:hAnsi="Calibri" w:cs="Calibri"/>
          <w:b/>
          <w:sz w:val="28"/>
          <w:lang w:val="en-US"/>
        </w:rPr>
        <w:lastRenderedPageBreak/>
        <w:t xml:space="preserve">Data in Tables: </w:t>
      </w:r>
    </w:p>
    <w:p w:rsidR="0070568B" w:rsidRPr="0091342C" w:rsidRDefault="0070568B" w:rsidP="00402420">
      <w:pPr>
        <w:jc w:val="both"/>
        <w:rPr>
          <w:rFonts w:cstheme="minorHAnsi"/>
          <w:lang w:val="en-US"/>
        </w:rPr>
      </w:pPr>
      <w:r w:rsidRPr="0091342C">
        <w:rPr>
          <w:rFonts w:cstheme="minorHAnsi"/>
          <w:b/>
          <w:lang w:val="en-US"/>
        </w:rPr>
        <w:t>Treatments</w:t>
      </w:r>
      <w:r w:rsidRPr="0091342C">
        <w:rPr>
          <w:rFonts w:cstheme="minorHAnsi"/>
          <w:lang w:val="en-US"/>
        </w:rPr>
        <w:t>: non-inoculated wheat (CTRL)</w:t>
      </w:r>
      <w:r w:rsidR="009B1112" w:rsidRPr="0091342C">
        <w:rPr>
          <w:rFonts w:cstheme="minorHAnsi"/>
          <w:lang w:val="en-US"/>
        </w:rPr>
        <w:t xml:space="preserve">, </w:t>
      </w:r>
      <w:r w:rsidRPr="0091342C">
        <w:rPr>
          <w:rFonts w:cstheme="minorHAnsi"/>
          <w:lang w:val="en-US"/>
        </w:rPr>
        <w:t>HE, PE, PC, LE, PD</w:t>
      </w:r>
      <w:r w:rsidR="009B1112" w:rsidRPr="0091342C">
        <w:rPr>
          <w:rFonts w:cstheme="minorHAnsi"/>
          <w:lang w:val="en-US"/>
        </w:rPr>
        <w:t>,</w:t>
      </w:r>
      <w:r w:rsidRPr="0091342C">
        <w:rPr>
          <w:rFonts w:cstheme="minorHAnsi"/>
          <w:lang w:val="en-US"/>
        </w:rPr>
        <w:t xml:space="preserve"> TV</w:t>
      </w:r>
      <w:r w:rsidR="00E31BFE" w:rsidRPr="0091342C">
        <w:rPr>
          <w:rFonts w:cstheme="minorHAnsi"/>
          <w:lang w:val="en-US"/>
        </w:rPr>
        <w:t xml:space="preserve"> </w:t>
      </w:r>
      <w:r w:rsidR="009B1112" w:rsidRPr="0091342C">
        <w:rPr>
          <w:rFonts w:cstheme="minorHAnsi"/>
          <w:lang w:val="en-US"/>
        </w:rPr>
        <w:t>PO and GL</w:t>
      </w:r>
      <w:r w:rsidRPr="0091342C">
        <w:rPr>
          <w:rFonts w:cstheme="minorHAnsi"/>
          <w:lang w:val="en-US"/>
        </w:rPr>
        <w:t>.</w:t>
      </w:r>
    </w:p>
    <w:p w:rsidR="0070568B" w:rsidRPr="0091342C" w:rsidRDefault="0070568B" w:rsidP="00402420">
      <w:pPr>
        <w:spacing w:line="360" w:lineRule="auto"/>
        <w:jc w:val="both"/>
        <w:rPr>
          <w:rFonts w:cstheme="minorHAnsi"/>
          <w:lang w:val="en-US"/>
        </w:rPr>
      </w:pPr>
      <w:r w:rsidRPr="0091342C">
        <w:rPr>
          <w:rFonts w:cstheme="minorHAnsi"/>
          <w:b/>
          <w:lang w:val="en-US"/>
        </w:rPr>
        <w:t>Substrate consumption</w:t>
      </w:r>
      <w:r w:rsidRPr="0091342C">
        <w:rPr>
          <w:rFonts w:cstheme="minorHAnsi"/>
          <w:lang w:val="en-US"/>
        </w:rPr>
        <w:t xml:space="preserve"> (%): mycelial growth evaluated as the percentage of total dry mass (DM) consumed during the fermentation process and calculated according to Equation (1):</w:t>
      </w:r>
    </w:p>
    <w:p w:rsidR="0070568B" w:rsidRPr="0091342C" w:rsidRDefault="0070568B" w:rsidP="00402420">
      <w:pPr>
        <w:jc w:val="both"/>
        <w:rPr>
          <w:rFonts w:cstheme="minorHAnsi"/>
          <w:lang w:val="en-US"/>
        </w:rPr>
      </w:pPr>
      <m:oMathPara>
        <m:oMathParaPr>
          <m:jc m:val="left"/>
        </m:oMathParaPr>
        <m:oMath>
          <m:r>
            <w:rPr>
              <w:rFonts w:ascii="Cambria Math" w:hAnsi="Cambria Math" w:cstheme="minorHAnsi"/>
              <w:lang w:val="en-US"/>
            </w:rPr>
            <m:t>Substrate</m:t>
          </m:r>
          <m:r>
            <m:rPr>
              <m:sty m:val="p"/>
            </m:rPr>
            <w:rPr>
              <w:rFonts w:ascii="Cambria Math" w:hAnsi="Cambria Math" w:cstheme="minorHAnsi"/>
              <w:lang w:val="en-US"/>
            </w:rPr>
            <m:t xml:space="preserve"> </m:t>
          </m:r>
          <m:r>
            <w:rPr>
              <w:rFonts w:ascii="Cambria Math" w:hAnsi="Cambria Math" w:cstheme="minorHAnsi"/>
              <w:lang w:val="en-US"/>
            </w:rPr>
            <m:t>consumption</m:t>
          </m:r>
          <m:r>
            <m:rPr>
              <m:sty m:val="p"/>
            </m:rPr>
            <w:rPr>
              <w:rFonts w:ascii="Cambria Math" w:hAnsi="Cambria Math" w:cstheme="minorHAnsi"/>
              <w:lang w:val="en-US"/>
            </w:rPr>
            <m:t>=(</m:t>
          </m:r>
          <m:f>
            <m:fPr>
              <m:ctrlPr>
                <w:rPr>
                  <w:rFonts w:ascii="Cambria Math" w:hAnsi="Cambria Math" w:cstheme="minorHAnsi"/>
                  <w:lang w:val="en-US"/>
                </w:rPr>
              </m:ctrlPr>
            </m:fPr>
            <m:num>
              <m:sSub>
                <m:sSubPr>
                  <m:ctrlPr>
                    <w:rPr>
                      <w:rFonts w:ascii="Cambria Math" w:hAnsi="Cambria Math" w:cstheme="minorHAnsi"/>
                      <w:lang w:val="en-US"/>
                    </w:rPr>
                  </m:ctrlPr>
                </m:sSubPr>
                <m:e>
                  <m:r>
                    <w:rPr>
                      <w:rFonts w:ascii="Cambria Math" w:hAnsi="Cambria Math" w:cstheme="minorHAnsi"/>
                      <w:lang w:val="en-US"/>
                    </w:rPr>
                    <m:t>DM</m:t>
                  </m:r>
                </m:e>
                <m:sub>
                  <m:r>
                    <w:rPr>
                      <w:rFonts w:ascii="Cambria Math" w:hAnsi="Cambria Math" w:cstheme="minorHAnsi"/>
                      <w:lang w:val="en-US"/>
                    </w:rPr>
                    <m:t>non</m:t>
                  </m:r>
                  <m:r>
                    <m:rPr>
                      <m:sty m:val="p"/>
                    </m:rPr>
                    <w:rPr>
                      <w:rFonts w:ascii="Cambria Math" w:hAnsi="Cambria Math" w:cstheme="minorHAnsi"/>
                      <w:lang w:val="en-US"/>
                    </w:rPr>
                    <m:t>-</m:t>
                  </m:r>
                  <m:r>
                    <w:rPr>
                      <w:rFonts w:ascii="Cambria Math" w:hAnsi="Cambria Math" w:cstheme="minorHAnsi"/>
                      <w:lang w:val="en-US"/>
                    </w:rPr>
                    <m:t>inoculated</m:t>
                  </m:r>
                </m:sub>
              </m:sSub>
              <m:r>
                <m:rPr>
                  <m:sty m:val="p"/>
                </m:rPr>
                <w:rPr>
                  <w:rFonts w:ascii="Cambria Math" w:hAnsi="Cambria Math" w:cstheme="minorHAnsi"/>
                  <w:lang w:val="en-US"/>
                </w:rPr>
                <m:t>+</m:t>
              </m:r>
              <m:sSub>
                <m:sSubPr>
                  <m:ctrlPr>
                    <w:rPr>
                      <w:rFonts w:ascii="Cambria Math" w:hAnsi="Cambria Math" w:cstheme="minorHAnsi"/>
                      <w:lang w:val="en-US"/>
                    </w:rPr>
                  </m:ctrlPr>
                </m:sSubPr>
                <m:e>
                  <m:r>
                    <w:rPr>
                      <w:rFonts w:ascii="Cambria Math" w:hAnsi="Cambria Math" w:cstheme="minorHAnsi"/>
                      <w:lang w:val="en-US"/>
                    </w:rPr>
                    <m:t>DM</m:t>
                  </m:r>
                </m:e>
                <m:sub>
                  <m:r>
                    <w:rPr>
                      <w:rFonts w:ascii="Cambria Math" w:hAnsi="Cambria Math" w:cstheme="minorHAnsi"/>
                      <w:lang w:val="en-US"/>
                    </w:rPr>
                    <m:t>spawn</m:t>
                  </m:r>
                </m:sub>
              </m:sSub>
              <m:r>
                <m:rPr>
                  <m:sty m:val="p"/>
                </m:rPr>
                <w:rPr>
                  <w:rFonts w:ascii="Cambria Math" w:hAnsi="Cambria Math" w:cstheme="minorHAnsi"/>
                  <w:lang w:val="en-US"/>
                </w:rPr>
                <m:t>-</m:t>
              </m:r>
              <m:sSub>
                <m:sSubPr>
                  <m:ctrlPr>
                    <w:rPr>
                      <w:rFonts w:ascii="Cambria Math" w:hAnsi="Cambria Math" w:cstheme="minorHAnsi"/>
                      <w:lang w:val="en-US"/>
                    </w:rPr>
                  </m:ctrlPr>
                </m:sSubPr>
                <m:e>
                  <m:r>
                    <w:rPr>
                      <w:rFonts w:ascii="Cambria Math" w:hAnsi="Cambria Math" w:cstheme="minorHAnsi"/>
                      <w:lang w:val="en-US"/>
                    </w:rPr>
                    <m:t>DM</m:t>
                  </m:r>
                </m:e>
                <m:sub>
                  <m:r>
                    <w:rPr>
                      <w:rFonts w:ascii="Cambria Math" w:hAnsi="Cambria Math" w:cstheme="minorHAnsi"/>
                      <w:lang w:val="en-US"/>
                    </w:rPr>
                    <m:t>myceliated</m:t>
                  </m:r>
                </m:sub>
              </m:sSub>
            </m:num>
            <m:den>
              <m:sSub>
                <m:sSubPr>
                  <m:ctrlPr>
                    <w:rPr>
                      <w:rFonts w:ascii="Cambria Math" w:hAnsi="Cambria Math" w:cstheme="minorHAnsi"/>
                      <w:lang w:val="en-US"/>
                    </w:rPr>
                  </m:ctrlPr>
                </m:sSubPr>
                <m:e>
                  <m:r>
                    <w:rPr>
                      <w:rFonts w:ascii="Cambria Math" w:hAnsi="Cambria Math" w:cstheme="minorHAnsi"/>
                      <w:lang w:val="en-US"/>
                    </w:rPr>
                    <m:t>DM</m:t>
                  </m:r>
                </m:e>
                <m:sub>
                  <m:r>
                    <w:rPr>
                      <w:rFonts w:ascii="Cambria Math" w:hAnsi="Cambria Math" w:cstheme="minorHAnsi"/>
                      <w:lang w:val="en-US"/>
                    </w:rPr>
                    <m:t>non</m:t>
                  </m:r>
                  <m:r>
                    <m:rPr>
                      <m:sty m:val="p"/>
                    </m:rPr>
                    <w:rPr>
                      <w:rFonts w:ascii="Cambria Math" w:hAnsi="Cambria Math" w:cstheme="minorHAnsi"/>
                      <w:lang w:val="en-US"/>
                    </w:rPr>
                    <m:t>-</m:t>
                  </m:r>
                  <m:r>
                    <w:rPr>
                      <w:rFonts w:ascii="Cambria Math" w:hAnsi="Cambria Math" w:cstheme="minorHAnsi"/>
                      <w:lang w:val="en-US"/>
                    </w:rPr>
                    <m:t>inoculated</m:t>
                  </m:r>
                </m:sub>
              </m:sSub>
              <m:r>
                <m:rPr>
                  <m:sty m:val="p"/>
                </m:rPr>
                <w:rPr>
                  <w:rFonts w:ascii="Cambria Math" w:hAnsi="Cambria Math" w:cstheme="minorHAnsi"/>
                  <w:lang w:val="en-US"/>
                </w:rPr>
                <m:t>+</m:t>
              </m:r>
              <m:sSub>
                <m:sSubPr>
                  <m:ctrlPr>
                    <w:rPr>
                      <w:rFonts w:ascii="Cambria Math" w:hAnsi="Cambria Math" w:cstheme="minorHAnsi"/>
                      <w:lang w:val="en-US"/>
                    </w:rPr>
                  </m:ctrlPr>
                </m:sSubPr>
                <m:e>
                  <m:r>
                    <w:rPr>
                      <w:rFonts w:ascii="Cambria Math" w:hAnsi="Cambria Math" w:cstheme="minorHAnsi"/>
                      <w:lang w:val="en-US"/>
                    </w:rPr>
                    <m:t>DM</m:t>
                  </m:r>
                </m:e>
                <m:sub>
                  <m:r>
                    <w:rPr>
                      <w:rFonts w:ascii="Cambria Math" w:hAnsi="Cambria Math" w:cstheme="minorHAnsi"/>
                      <w:lang w:val="en-US"/>
                    </w:rPr>
                    <m:t>spawn</m:t>
                  </m:r>
                </m:sub>
              </m:sSub>
            </m:den>
          </m:f>
          <m:r>
            <m:rPr>
              <m:sty m:val="p"/>
            </m:rPr>
            <w:rPr>
              <w:rFonts w:ascii="Cambria Math" w:hAnsi="Cambria Math" w:cstheme="minorHAnsi"/>
              <w:lang w:val="en-US"/>
            </w:rPr>
            <m:t>)*100</m:t>
          </m:r>
        </m:oMath>
      </m:oMathPara>
    </w:p>
    <w:p w:rsidR="0070568B" w:rsidRPr="0091342C" w:rsidRDefault="0070568B" w:rsidP="00402420">
      <w:pPr>
        <w:pStyle w:val="Descripcin"/>
        <w:jc w:val="both"/>
        <w:rPr>
          <w:rFonts w:asciiTheme="minorHAnsi" w:hAnsiTheme="minorHAnsi" w:cstheme="minorHAnsi"/>
        </w:rPr>
      </w:pPr>
      <w:r w:rsidRPr="0091342C">
        <w:rPr>
          <w:rFonts w:asciiTheme="minorHAnsi" w:hAnsiTheme="minorHAnsi" w:cstheme="minorHAnsi"/>
        </w:rPr>
        <w:t>(</w:t>
      </w:r>
      <w:r w:rsidRPr="0091342C">
        <w:rPr>
          <w:rFonts w:asciiTheme="minorHAnsi" w:hAnsiTheme="minorHAnsi" w:cstheme="minorHAnsi"/>
        </w:rPr>
        <w:fldChar w:fldCharType="begin"/>
      </w:r>
      <w:r w:rsidRPr="0091342C">
        <w:rPr>
          <w:rFonts w:asciiTheme="minorHAnsi" w:hAnsiTheme="minorHAnsi" w:cstheme="minorHAnsi"/>
        </w:rPr>
        <w:instrText xml:space="preserve"> SEQ Equation \* ARABIC </w:instrText>
      </w:r>
      <w:r w:rsidRPr="0091342C">
        <w:rPr>
          <w:rFonts w:asciiTheme="minorHAnsi" w:hAnsiTheme="minorHAnsi" w:cstheme="minorHAnsi"/>
        </w:rPr>
        <w:fldChar w:fldCharType="separate"/>
      </w:r>
      <w:r w:rsidRPr="0091342C">
        <w:rPr>
          <w:rFonts w:asciiTheme="minorHAnsi" w:hAnsiTheme="minorHAnsi" w:cstheme="minorHAnsi"/>
          <w:noProof/>
        </w:rPr>
        <w:t>1</w:t>
      </w:r>
      <w:r w:rsidRPr="0091342C">
        <w:rPr>
          <w:rFonts w:asciiTheme="minorHAnsi" w:hAnsiTheme="minorHAnsi" w:cstheme="minorHAnsi"/>
        </w:rPr>
        <w:fldChar w:fldCharType="end"/>
      </w:r>
      <w:r w:rsidRPr="0091342C">
        <w:rPr>
          <w:rFonts w:asciiTheme="minorHAnsi" w:hAnsiTheme="minorHAnsi" w:cstheme="minorHAnsi"/>
        </w:rPr>
        <w:t>)</w:t>
      </w:r>
    </w:p>
    <w:p w:rsidR="0070568B" w:rsidRPr="0091342C" w:rsidRDefault="0070568B" w:rsidP="00402420">
      <w:pPr>
        <w:jc w:val="both"/>
        <w:rPr>
          <w:rFonts w:cstheme="minorHAnsi"/>
          <w:lang w:val="en-US"/>
        </w:rPr>
      </w:pPr>
      <w:r w:rsidRPr="0091342C">
        <w:rPr>
          <w:rFonts w:cstheme="minorHAnsi"/>
          <w:lang w:val="en-US"/>
        </w:rPr>
        <w:t>where</w:t>
      </w:r>
      <m:oMath>
        <m:r>
          <w:rPr>
            <w:rFonts w:ascii="Cambria Math" w:hAnsi="Cambria Math" w:cstheme="minorHAnsi"/>
            <w:lang w:val="en-US"/>
          </w:rPr>
          <m:t xml:space="preserve"> </m:t>
        </m:r>
        <m:sSub>
          <m:sSubPr>
            <m:ctrlPr>
              <w:rPr>
                <w:rFonts w:ascii="Cambria Math" w:hAnsi="Cambria Math" w:cstheme="minorHAnsi"/>
                <w:i/>
                <w:lang w:val="en-US"/>
              </w:rPr>
            </m:ctrlPr>
          </m:sSubPr>
          <m:e>
            <m:r>
              <w:rPr>
                <w:rFonts w:ascii="Cambria Math" w:hAnsi="Cambria Math" w:cstheme="minorHAnsi"/>
                <w:lang w:val="en-US"/>
              </w:rPr>
              <m:t>DM</m:t>
            </m:r>
          </m:e>
          <m:sub>
            <m:r>
              <w:rPr>
                <w:rFonts w:ascii="Cambria Math" w:hAnsi="Cambria Math" w:cstheme="minorHAnsi"/>
                <w:lang w:val="en-US"/>
              </w:rPr>
              <m:t>non-inoculated</m:t>
            </m:r>
          </m:sub>
        </m:sSub>
        <m:r>
          <w:rPr>
            <w:rFonts w:ascii="Cambria Math" w:hAnsi="Cambria Math" w:cstheme="minorHAnsi"/>
            <w:lang w:val="en-US"/>
          </w:rPr>
          <m:t xml:space="preserve"> </m:t>
        </m:r>
      </m:oMath>
      <w:r w:rsidRPr="0091342C">
        <w:rPr>
          <w:rFonts w:cstheme="minorHAnsi"/>
          <w:lang w:val="en-US"/>
        </w:rPr>
        <w:t xml:space="preserve">is the mean DM of non-inoculated samples and </w:t>
      </w:r>
      <m:oMath>
        <m:sSub>
          <m:sSubPr>
            <m:ctrlPr>
              <w:rPr>
                <w:rFonts w:ascii="Cambria Math" w:hAnsi="Cambria Math" w:cstheme="minorHAnsi"/>
                <w:i/>
                <w:lang w:val="en-US"/>
              </w:rPr>
            </m:ctrlPr>
          </m:sSubPr>
          <m:e>
            <m:r>
              <w:rPr>
                <w:rFonts w:ascii="Cambria Math" w:hAnsi="Cambria Math" w:cstheme="minorHAnsi"/>
                <w:lang w:val="en-US"/>
              </w:rPr>
              <m:t>DM</m:t>
            </m:r>
          </m:e>
          <m:sub>
            <m:r>
              <w:rPr>
                <w:rFonts w:ascii="Cambria Math" w:hAnsi="Cambria Math" w:cstheme="minorHAnsi"/>
                <w:lang w:val="en-US"/>
              </w:rPr>
              <m:t>myceliated</m:t>
            </m:r>
          </m:sub>
        </m:sSub>
      </m:oMath>
      <w:r w:rsidRPr="0091342C">
        <w:rPr>
          <w:rFonts w:cstheme="minorHAnsi"/>
          <w:lang w:val="en-US"/>
        </w:rPr>
        <w:t xml:space="preserve"> is the DM after the fermentation process. </w:t>
      </w:r>
      <m:oMath>
        <m:sSub>
          <m:sSubPr>
            <m:ctrlPr>
              <w:rPr>
                <w:rFonts w:ascii="Cambria Math" w:hAnsi="Cambria Math" w:cstheme="minorHAnsi"/>
                <w:i/>
                <w:lang w:val="en-US"/>
              </w:rPr>
            </m:ctrlPr>
          </m:sSubPr>
          <m:e>
            <m:r>
              <w:rPr>
                <w:rFonts w:ascii="Cambria Math" w:hAnsi="Cambria Math" w:cstheme="minorHAnsi"/>
                <w:lang w:val="en-US"/>
              </w:rPr>
              <m:t>DM</m:t>
            </m:r>
          </m:e>
          <m:sub>
            <m:r>
              <w:rPr>
                <w:rFonts w:ascii="Cambria Math" w:hAnsi="Cambria Math" w:cstheme="minorHAnsi"/>
                <w:lang w:val="en-US"/>
              </w:rPr>
              <m:t>spawn</m:t>
            </m:r>
          </m:sub>
        </m:sSub>
      </m:oMath>
      <w:r w:rsidRPr="0091342C">
        <w:rPr>
          <w:rFonts w:cstheme="minorHAnsi"/>
          <w:lang w:val="en-US"/>
        </w:rPr>
        <w:t xml:space="preserve"> is the DM of the spawn inoculated obtained by</w:t>
      </w:r>
      <w:r w:rsidR="00282BB1" w:rsidRPr="0091342C">
        <w:rPr>
          <w:rFonts w:cstheme="minorHAnsi"/>
          <w:lang w:val="en-US"/>
        </w:rPr>
        <w:t xml:space="preserve"> </w:t>
      </w:r>
      <w:r w:rsidRPr="0091342C">
        <w:rPr>
          <w:rFonts w:cstheme="minorHAnsi"/>
          <w:lang w:val="en-US"/>
        </w:rPr>
        <w:t>subtracting the spawn’s % humidity from the inoculated spawn mass.</w:t>
      </w:r>
    </w:p>
    <w:p w:rsidR="009B1112" w:rsidRPr="0091342C" w:rsidRDefault="009B1112" w:rsidP="00402420">
      <w:pPr>
        <w:jc w:val="both"/>
        <w:rPr>
          <w:rFonts w:cstheme="minorHAnsi"/>
          <w:b/>
          <w:lang w:val="en-US"/>
        </w:rPr>
      </w:pPr>
      <w:r w:rsidRPr="0091342C">
        <w:rPr>
          <w:rFonts w:cstheme="minorHAnsi"/>
          <w:b/>
          <w:lang w:val="en-US"/>
        </w:rPr>
        <w:t xml:space="preserve">Total Antioxidant capacity by </w:t>
      </w:r>
      <w:proofErr w:type="spellStart"/>
      <w:r w:rsidRPr="0091342C">
        <w:rPr>
          <w:rFonts w:cstheme="minorHAnsi"/>
          <w:b/>
          <w:lang w:val="en-US"/>
        </w:rPr>
        <w:t>quencherCUPRAC</w:t>
      </w:r>
      <w:proofErr w:type="spellEnd"/>
      <w:r w:rsidRPr="0091342C">
        <w:rPr>
          <w:rFonts w:cstheme="minorHAnsi"/>
          <w:lang w:val="en-US"/>
        </w:rPr>
        <w:t xml:space="preserve"> (mg GAE/g DM): determined according to </w:t>
      </w:r>
      <w:proofErr w:type="spellStart"/>
      <w:r w:rsidRPr="0091342C">
        <w:rPr>
          <w:rFonts w:cstheme="minorHAnsi"/>
          <w:lang w:val="en-US"/>
        </w:rPr>
        <w:t>Tufan</w:t>
      </w:r>
      <w:proofErr w:type="spellEnd"/>
      <w:r w:rsidRPr="0091342C">
        <w:rPr>
          <w:rFonts w:cstheme="minorHAnsi"/>
          <w:lang w:val="en-US"/>
        </w:rPr>
        <w:t xml:space="preserve"> et al. (2013).</w:t>
      </w:r>
    </w:p>
    <w:p w:rsidR="00975ED3" w:rsidRPr="0091342C" w:rsidRDefault="00975ED3" w:rsidP="00402420">
      <w:pPr>
        <w:jc w:val="both"/>
        <w:rPr>
          <w:rFonts w:cstheme="minorHAnsi"/>
          <w:lang w:val="en-US"/>
        </w:rPr>
      </w:pPr>
      <w:r w:rsidRPr="0091342C">
        <w:rPr>
          <w:rFonts w:cstheme="minorHAnsi"/>
          <w:b/>
          <w:lang w:val="en-US"/>
        </w:rPr>
        <w:t>Ergothioneine</w:t>
      </w:r>
      <w:r w:rsidRPr="0091342C">
        <w:rPr>
          <w:rFonts w:cstheme="minorHAnsi"/>
          <w:lang w:val="en-US"/>
        </w:rPr>
        <w:t xml:space="preserve"> (mg/g DM): content of ergothioneine determined by HPLC according to Lee et al. (2009).</w:t>
      </w:r>
    </w:p>
    <w:p w:rsidR="0070568B" w:rsidRPr="0091342C" w:rsidRDefault="0070568B" w:rsidP="00402420">
      <w:pPr>
        <w:jc w:val="both"/>
        <w:rPr>
          <w:rFonts w:cstheme="minorHAnsi"/>
          <w:lang w:val="en-US"/>
        </w:rPr>
      </w:pPr>
      <w:r w:rsidRPr="0091342C">
        <w:rPr>
          <w:rFonts w:cstheme="minorHAnsi"/>
          <w:b/>
          <w:lang w:val="en-US"/>
        </w:rPr>
        <w:t>Total Phenolic content</w:t>
      </w:r>
      <w:r w:rsidRPr="0091342C">
        <w:rPr>
          <w:rFonts w:cstheme="minorHAnsi"/>
          <w:lang w:val="en-US"/>
        </w:rPr>
        <w:t xml:space="preserve"> (mg GAE/g DM): determined according to</w:t>
      </w:r>
      <w:r w:rsidR="009B1112" w:rsidRPr="0091342C">
        <w:rPr>
          <w:rFonts w:cstheme="minorHAnsi"/>
          <w:lang w:val="en-US"/>
        </w:rPr>
        <w:t xml:space="preserve"> Sánchez-Rangel et al. (2013).</w:t>
      </w:r>
    </w:p>
    <w:p w:rsidR="00975ED3" w:rsidRPr="0091342C" w:rsidRDefault="00975ED3" w:rsidP="00402420">
      <w:pPr>
        <w:jc w:val="both"/>
        <w:rPr>
          <w:rFonts w:cstheme="minorHAnsi"/>
          <w:lang w:val="en-US"/>
        </w:rPr>
      </w:pPr>
      <w:r w:rsidRPr="0091342C">
        <w:rPr>
          <w:rFonts w:cstheme="minorHAnsi"/>
          <w:b/>
          <w:lang w:val="en-US"/>
        </w:rPr>
        <w:t>Antioxidant capacity of EGT and TPC extracts by CUPRAC</w:t>
      </w:r>
      <w:r w:rsidRPr="0091342C">
        <w:rPr>
          <w:rFonts w:cstheme="minorHAnsi"/>
          <w:lang w:val="en-US"/>
        </w:rPr>
        <w:t xml:space="preserve"> (mg GAE/g DM): determined according to </w:t>
      </w:r>
      <w:bookmarkStart w:id="0" w:name="_GoBack"/>
      <w:bookmarkEnd w:id="0"/>
      <w:proofErr w:type="spellStart"/>
      <w:r w:rsidRPr="0091342C">
        <w:rPr>
          <w:rFonts w:cstheme="minorHAnsi"/>
          <w:lang w:val="en-US"/>
        </w:rPr>
        <w:t>Apak</w:t>
      </w:r>
      <w:proofErr w:type="spellEnd"/>
      <w:r w:rsidRPr="0091342C">
        <w:rPr>
          <w:rFonts w:cstheme="minorHAnsi"/>
          <w:lang w:val="en-US"/>
        </w:rPr>
        <w:t xml:space="preserve"> et al. (2004).</w:t>
      </w:r>
    </w:p>
    <w:p w:rsidR="00402420" w:rsidRPr="0091342C" w:rsidRDefault="00402420" w:rsidP="00282BB1">
      <w:pPr>
        <w:rPr>
          <w:rFonts w:cstheme="minorHAnsi"/>
          <w:b/>
          <w:sz w:val="28"/>
          <w:lang w:val="en-US"/>
        </w:rPr>
      </w:pPr>
    </w:p>
    <w:p w:rsidR="00282BB1" w:rsidRPr="0091342C" w:rsidRDefault="00282BB1" w:rsidP="00282BB1">
      <w:pPr>
        <w:rPr>
          <w:rFonts w:cstheme="minorHAnsi"/>
          <w:b/>
          <w:sz w:val="28"/>
          <w:lang w:val="en-US"/>
        </w:rPr>
      </w:pPr>
      <w:r w:rsidRPr="0091342C">
        <w:rPr>
          <w:rFonts w:cstheme="minorHAnsi"/>
          <w:b/>
          <w:sz w:val="28"/>
          <w:lang w:val="en-US"/>
        </w:rPr>
        <w:t>Abbreviations utilized</w:t>
      </w:r>
      <w:r w:rsidRPr="0091342C">
        <w:rPr>
          <w:rFonts w:cstheme="minorHAnsi"/>
          <w:b/>
          <w:sz w:val="28"/>
          <w:lang w:val="en-US"/>
        </w:rPr>
        <w:tab/>
      </w:r>
    </w:p>
    <w:p w:rsidR="00282BB1" w:rsidRPr="0091342C" w:rsidRDefault="00282BB1" w:rsidP="00282BB1">
      <w:pPr>
        <w:rPr>
          <w:rFonts w:ascii="Calibri" w:eastAsia="Times New Roman" w:hAnsi="Calibri" w:cs="Calibri"/>
          <w:color w:val="000000"/>
          <w:lang w:val="en-US" w:eastAsia="es-AR"/>
        </w:rPr>
      </w:pPr>
      <w:r w:rsidRPr="0091342C">
        <w:rPr>
          <w:rFonts w:cstheme="minorHAnsi"/>
          <w:lang w:val="en-US"/>
        </w:rPr>
        <w:t>CUPRAC</w:t>
      </w:r>
      <w:r w:rsidRPr="0091342C">
        <w:rPr>
          <w:rFonts w:cstheme="minorHAnsi"/>
          <w:lang w:val="en-US"/>
        </w:rPr>
        <w:tab/>
      </w:r>
      <w:r w:rsidR="00316AAC" w:rsidRPr="0091342C">
        <w:rPr>
          <w:rFonts w:cstheme="minorHAnsi"/>
          <w:lang w:val="en-US"/>
        </w:rPr>
        <w:t>c</w:t>
      </w:r>
      <w:r w:rsidR="00316AAC" w:rsidRPr="0091342C">
        <w:rPr>
          <w:rFonts w:ascii="Calibri" w:eastAsia="Times New Roman" w:hAnsi="Calibri" w:cs="Calibri"/>
          <w:color w:val="000000"/>
          <w:lang w:val="en-US" w:eastAsia="es-AR"/>
        </w:rPr>
        <w:t>up</w:t>
      </w:r>
      <w:r w:rsidRPr="0091342C">
        <w:rPr>
          <w:rFonts w:ascii="Calibri" w:eastAsia="Times New Roman" w:hAnsi="Calibri" w:cs="Calibri"/>
          <w:color w:val="000000"/>
          <w:lang w:val="en-US" w:eastAsia="es-AR"/>
        </w:rPr>
        <w:t xml:space="preserve">ric </w:t>
      </w:r>
      <w:r w:rsidR="00316AAC" w:rsidRPr="0091342C">
        <w:rPr>
          <w:rFonts w:ascii="Calibri" w:eastAsia="Times New Roman" w:hAnsi="Calibri" w:cs="Calibri"/>
          <w:color w:val="000000"/>
          <w:lang w:val="en-US" w:eastAsia="es-AR"/>
        </w:rPr>
        <w:t>r</w:t>
      </w:r>
      <w:r w:rsidRPr="0091342C">
        <w:rPr>
          <w:rFonts w:ascii="Calibri" w:eastAsia="Times New Roman" w:hAnsi="Calibri" w:cs="Calibri"/>
          <w:color w:val="000000"/>
          <w:lang w:val="en-US" w:eastAsia="es-AR"/>
        </w:rPr>
        <w:t xml:space="preserve">educing </w:t>
      </w:r>
      <w:r w:rsidR="00316AAC" w:rsidRPr="0091342C">
        <w:rPr>
          <w:rFonts w:ascii="Calibri" w:eastAsia="Times New Roman" w:hAnsi="Calibri" w:cs="Calibri"/>
          <w:color w:val="000000"/>
          <w:lang w:val="en-US" w:eastAsia="es-AR"/>
        </w:rPr>
        <w:t>a</w:t>
      </w:r>
      <w:r w:rsidRPr="0091342C">
        <w:rPr>
          <w:rFonts w:ascii="Calibri" w:eastAsia="Times New Roman" w:hAnsi="Calibri" w:cs="Calibri"/>
          <w:color w:val="000000"/>
          <w:lang w:val="en-US" w:eastAsia="es-AR"/>
        </w:rPr>
        <w:t xml:space="preserve">ntioxidant </w:t>
      </w:r>
      <w:r w:rsidR="00316AAC" w:rsidRPr="0091342C">
        <w:rPr>
          <w:rFonts w:ascii="Calibri" w:eastAsia="Times New Roman" w:hAnsi="Calibri" w:cs="Calibri"/>
          <w:color w:val="000000"/>
          <w:lang w:val="en-US" w:eastAsia="es-AR"/>
        </w:rPr>
        <w:t>c</w:t>
      </w:r>
      <w:r w:rsidRPr="0091342C">
        <w:rPr>
          <w:rFonts w:ascii="Calibri" w:eastAsia="Times New Roman" w:hAnsi="Calibri" w:cs="Calibri"/>
          <w:color w:val="000000"/>
          <w:lang w:val="en-US" w:eastAsia="es-AR"/>
        </w:rPr>
        <w:t>apacity</w:t>
      </w:r>
    </w:p>
    <w:p w:rsidR="00282BB1" w:rsidRPr="0091342C" w:rsidRDefault="00282BB1" w:rsidP="00282BB1">
      <w:pPr>
        <w:rPr>
          <w:rFonts w:cstheme="minorHAnsi"/>
          <w:lang w:val="en-US"/>
        </w:rPr>
      </w:pPr>
      <w:r w:rsidRPr="0091342C">
        <w:rPr>
          <w:rFonts w:cstheme="minorHAnsi"/>
          <w:lang w:val="en-US"/>
        </w:rPr>
        <w:t>DM</w:t>
      </w:r>
      <w:r w:rsidRPr="0091342C">
        <w:rPr>
          <w:rFonts w:cstheme="minorHAnsi"/>
          <w:lang w:val="en-US"/>
        </w:rPr>
        <w:tab/>
      </w:r>
      <w:r w:rsidRPr="0091342C">
        <w:rPr>
          <w:rFonts w:cstheme="minorHAnsi"/>
          <w:lang w:val="en-US"/>
        </w:rPr>
        <w:tab/>
        <w:t xml:space="preserve">total </w:t>
      </w:r>
      <w:r w:rsidR="00316AAC" w:rsidRPr="0091342C">
        <w:rPr>
          <w:rFonts w:cstheme="minorHAnsi"/>
          <w:lang w:val="en-US"/>
        </w:rPr>
        <w:t>d</w:t>
      </w:r>
      <w:r w:rsidRPr="0091342C">
        <w:rPr>
          <w:rFonts w:cstheme="minorHAnsi"/>
          <w:lang w:val="en-US"/>
        </w:rPr>
        <w:t xml:space="preserve">ry </w:t>
      </w:r>
      <w:r w:rsidR="00316AAC" w:rsidRPr="0091342C">
        <w:rPr>
          <w:rFonts w:cstheme="minorHAnsi"/>
          <w:lang w:val="en-US"/>
        </w:rPr>
        <w:t>m</w:t>
      </w:r>
      <w:r w:rsidRPr="0091342C">
        <w:rPr>
          <w:rFonts w:cstheme="minorHAnsi"/>
          <w:lang w:val="en-US"/>
        </w:rPr>
        <w:t>ass</w:t>
      </w:r>
    </w:p>
    <w:p w:rsidR="00316AAC" w:rsidRPr="0091342C" w:rsidRDefault="00316AAC" w:rsidP="00282BB1">
      <w:pPr>
        <w:rPr>
          <w:rFonts w:cstheme="minorHAnsi"/>
          <w:lang w:val="en-US"/>
        </w:rPr>
      </w:pPr>
      <w:r w:rsidRPr="0091342C">
        <w:rPr>
          <w:rFonts w:cstheme="minorHAnsi"/>
          <w:lang w:val="en-US"/>
        </w:rPr>
        <w:t>EGT</w:t>
      </w:r>
      <w:r w:rsidRPr="0091342C">
        <w:rPr>
          <w:rFonts w:cstheme="minorHAnsi"/>
          <w:lang w:val="en-US"/>
        </w:rPr>
        <w:tab/>
      </w:r>
      <w:r w:rsidRPr="0091342C">
        <w:rPr>
          <w:rFonts w:cstheme="minorHAnsi"/>
          <w:lang w:val="en-US"/>
        </w:rPr>
        <w:tab/>
        <w:t>ergothioneine</w:t>
      </w:r>
    </w:p>
    <w:p w:rsidR="00282BB1" w:rsidRPr="0091342C" w:rsidRDefault="00282BB1" w:rsidP="00282BB1">
      <w:pPr>
        <w:rPr>
          <w:rFonts w:cstheme="minorHAnsi"/>
          <w:lang w:val="en-US"/>
        </w:rPr>
      </w:pPr>
      <w:r w:rsidRPr="0091342C">
        <w:rPr>
          <w:rFonts w:cstheme="minorHAnsi"/>
          <w:lang w:val="en-US"/>
        </w:rPr>
        <w:t>GAE</w:t>
      </w:r>
      <w:r w:rsidRPr="0091342C">
        <w:rPr>
          <w:rFonts w:cstheme="minorHAnsi"/>
          <w:lang w:val="en-US"/>
        </w:rPr>
        <w:tab/>
      </w:r>
      <w:r w:rsidRPr="0091342C">
        <w:rPr>
          <w:rFonts w:cstheme="minorHAnsi"/>
          <w:lang w:val="en-US"/>
        </w:rPr>
        <w:tab/>
      </w:r>
      <w:proofErr w:type="spellStart"/>
      <w:r w:rsidR="00316AAC" w:rsidRPr="0091342C">
        <w:rPr>
          <w:rFonts w:cstheme="minorHAnsi"/>
          <w:lang w:val="en-US"/>
        </w:rPr>
        <w:t>g</w:t>
      </w:r>
      <w:r w:rsidRPr="0091342C">
        <w:rPr>
          <w:rFonts w:cstheme="minorHAnsi"/>
          <w:lang w:val="en-US"/>
        </w:rPr>
        <w:t>alic</w:t>
      </w:r>
      <w:proofErr w:type="spellEnd"/>
      <w:r w:rsidRPr="0091342C">
        <w:rPr>
          <w:rFonts w:cstheme="minorHAnsi"/>
          <w:lang w:val="en-US"/>
        </w:rPr>
        <w:t xml:space="preserve"> </w:t>
      </w:r>
      <w:r w:rsidR="00316AAC" w:rsidRPr="0091342C">
        <w:rPr>
          <w:rFonts w:cstheme="minorHAnsi"/>
          <w:lang w:val="en-US"/>
        </w:rPr>
        <w:t>a</w:t>
      </w:r>
      <w:r w:rsidRPr="0091342C">
        <w:rPr>
          <w:rFonts w:cstheme="minorHAnsi"/>
          <w:lang w:val="en-US"/>
        </w:rPr>
        <w:t xml:space="preserve">cid </w:t>
      </w:r>
      <w:r w:rsidR="00316AAC" w:rsidRPr="0091342C">
        <w:rPr>
          <w:rFonts w:cstheme="minorHAnsi"/>
          <w:lang w:val="en-US"/>
        </w:rPr>
        <w:t>e</w:t>
      </w:r>
      <w:r w:rsidRPr="0091342C">
        <w:rPr>
          <w:rFonts w:cstheme="minorHAnsi"/>
          <w:lang w:val="en-US"/>
        </w:rPr>
        <w:t>quivalent</w:t>
      </w:r>
    </w:p>
    <w:p w:rsidR="00282BB1" w:rsidRPr="0091342C" w:rsidRDefault="00282BB1" w:rsidP="00282BB1">
      <w:pPr>
        <w:rPr>
          <w:rFonts w:cstheme="minorHAnsi"/>
          <w:lang w:val="en-US"/>
        </w:rPr>
      </w:pPr>
      <w:r w:rsidRPr="0091342C">
        <w:rPr>
          <w:rFonts w:cstheme="minorHAnsi"/>
          <w:lang w:val="en-US"/>
        </w:rPr>
        <w:t>SSF</w:t>
      </w:r>
      <w:r w:rsidRPr="0091342C">
        <w:rPr>
          <w:rFonts w:cstheme="minorHAnsi"/>
          <w:lang w:val="en-US"/>
        </w:rPr>
        <w:tab/>
      </w:r>
      <w:r w:rsidRPr="0091342C">
        <w:rPr>
          <w:rFonts w:cstheme="minorHAnsi"/>
          <w:lang w:val="en-US"/>
        </w:rPr>
        <w:tab/>
      </w:r>
      <w:r w:rsidR="00316AAC" w:rsidRPr="0091342C">
        <w:rPr>
          <w:rFonts w:cstheme="minorHAnsi"/>
          <w:lang w:val="en-US"/>
        </w:rPr>
        <w:t>s</w:t>
      </w:r>
      <w:r w:rsidRPr="0091342C">
        <w:rPr>
          <w:rFonts w:cstheme="minorHAnsi"/>
          <w:lang w:val="en-US"/>
        </w:rPr>
        <w:t xml:space="preserve">olid-state </w:t>
      </w:r>
      <w:r w:rsidR="00316AAC" w:rsidRPr="0091342C">
        <w:rPr>
          <w:rFonts w:cstheme="minorHAnsi"/>
          <w:lang w:val="en-US"/>
        </w:rPr>
        <w:t>f</w:t>
      </w:r>
      <w:r w:rsidRPr="0091342C">
        <w:rPr>
          <w:rFonts w:cstheme="minorHAnsi"/>
          <w:lang w:val="en-US"/>
        </w:rPr>
        <w:t>ermentation</w:t>
      </w:r>
    </w:p>
    <w:p w:rsidR="00316AAC" w:rsidRPr="0091342C" w:rsidRDefault="00316AAC" w:rsidP="00282BB1">
      <w:pPr>
        <w:rPr>
          <w:rFonts w:cstheme="minorHAnsi"/>
          <w:lang w:val="en-US"/>
        </w:rPr>
      </w:pPr>
      <w:r w:rsidRPr="0091342C">
        <w:rPr>
          <w:rFonts w:cstheme="minorHAnsi"/>
          <w:lang w:val="en-US"/>
        </w:rPr>
        <w:t>TPC</w:t>
      </w:r>
      <w:r w:rsidRPr="0091342C">
        <w:rPr>
          <w:rFonts w:cstheme="minorHAnsi"/>
          <w:lang w:val="en-US"/>
        </w:rPr>
        <w:tab/>
      </w:r>
      <w:r w:rsidRPr="0091342C">
        <w:rPr>
          <w:rFonts w:cstheme="minorHAnsi"/>
          <w:lang w:val="en-US"/>
        </w:rPr>
        <w:tab/>
        <w:t>total phenolic content</w:t>
      </w:r>
    </w:p>
    <w:p w:rsidR="00975ED3" w:rsidRPr="0091342C" w:rsidRDefault="00975ED3" w:rsidP="0070568B">
      <w:pPr>
        <w:rPr>
          <w:lang w:val="en-US"/>
        </w:rPr>
      </w:pPr>
    </w:p>
    <w:p w:rsidR="00282BB1" w:rsidRPr="0091342C" w:rsidRDefault="00282BB1" w:rsidP="00282BB1">
      <w:pPr>
        <w:rPr>
          <w:rFonts w:cstheme="minorHAnsi"/>
          <w:b/>
          <w:sz w:val="28"/>
          <w:lang w:val="en-US"/>
        </w:rPr>
      </w:pPr>
      <w:r w:rsidRPr="0091342C">
        <w:rPr>
          <w:rFonts w:cstheme="minorHAnsi"/>
          <w:b/>
          <w:sz w:val="28"/>
          <w:lang w:val="en-US"/>
        </w:rPr>
        <w:t>References</w:t>
      </w:r>
    </w:p>
    <w:p w:rsidR="00153843" w:rsidRPr="0091342C" w:rsidRDefault="00153843" w:rsidP="00153843">
      <w:pPr>
        <w:pStyle w:val="Bibliografa"/>
        <w:spacing w:after="120" w:line="240" w:lineRule="auto"/>
        <w:rPr>
          <w:rFonts w:ascii="Calibri" w:hAnsi="Calibri" w:cs="Calibri"/>
          <w:lang w:val="en-US"/>
        </w:rPr>
      </w:pPr>
      <w:r w:rsidRPr="0091342C">
        <w:rPr>
          <w:rFonts w:cstheme="minorHAnsi"/>
          <w:lang w:val="en-US"/>
        </w:rPr>
        <w:fldChar w:fldCharType="begin"/>
      </w:r>
      <w:r w:rsidRPr="0091342C">
        <w:rPr>
          <w:rFonts w:cstheme="minorHAnsi"/>
          <w:lang w:val="en-US"/>
        </w:rPr>
        <w:instrText xml:space="preserve"> ADDIN ZOTERO_BIBL {"uncited":[],"omitted":[],"custom":[]} CSL_BIBLIOGRAPHY </w:instrText>
      </w:r>
      <w:r w:rsidRPr="0091342C">
        <w:rPr>
          <w:rFonts w:cstheme="minorHAnsi"/>
          <w:lang w:val="en-US"/>
        </w:rPr>
        <w:fldChar w:fldCharType="separate"/>
      </w:r>
      <w:proofErr w:type="spellStart"/>
      <w:r w:rsidRPr="0091342C">
        <w:rPr>
          <w:rFonts w:ascii="Calibri" w:hAnsi="Calibri" w:cs="Calibri"/>
          <w:lang w:val="en-US"/>
        </w:rPr>
        <w:t>Apak</w:t>
      </w:r>
      <w:proofErr w:type="spellEnd"/>
      <w:r w:rsidRPr="0091342C">
        <w:rPr>
          <w:rFonts w:ascii="Calibri" w:hAnsi="Calibri" w:cs="Calibri"/>
          <w:lang w:val="en-US"/>
        </w:rPr>
        <w:t xml:space="preserve">, R., </w:t>
      </w:r>
      <w:proofErr w:type="spellStart"/>
      <w:r w:rsidRPr="0091342C">
        <w:rPr>
          <w:rFonts w:ascii="Calibri" w:hAnsi="Calibri" w:cs="Calibri"/>
          <w:lang w:val="en-US"/>
        </w:rPr>
        <w:t>Güçlü</w:t>
      </w:r>
      <w:proofErr w:type="spellEnd"/>
      <w:r w:rsidRPr="0091342C">
        <w:rPr>
          <w:rFonts w:ascii="Calibri" w:hAnsi="Calibri" w:cs="Calibri"/>
          <w:lang w:val="en-US"/>
        </w:rPr>
        <w:t xml:space="preserve">, K., </w:t>
      </w:r>
      <w:proofErr w:type="spellStart"/>
      <w:r w:rsidRPr="0091342C">
        <w:rPr>
          <w:rFonts w:ascii="Calibri" w:hAnsi="Calibri" w:cs="Calibri"/>
          <w:lang w:val="en-US"/>
        </w:rPr>
        <w:t>Özyürek</w:t>
      </w:r>
      <w:proofErr w:type="spellEnd"/>
      <w:r w:rsidRPr="0091342C">
        <w:rPr>
          <w:rFonts w:ascii="Calibri" w:hAnsi="Calibri" w:cs="Calibri"/>
          <w:lang w:val="en-US"/>
        </w:rPr>
        <w:t xml:space="preserve">, M., &amp; </w:t>
      </w:r>
      <w:proofErr w:type="spellStart"/>
      <w:r w:rsidRPr="0091342C">
        <w:rPr>
          <w:rFonts w:ascii="Calibri" w:hAnsi="Calibri" w:cs="Calibri"/>
          <w:lang w:val="en-US"/>
        </w:rPr>
        <w:t>Karademir</w:t>
      </w:r>
      <w:proofErr w:type="spellEnd"/>
      <w:r w:rsidRPr="0091342C">
        <w:rPr>
          <w:rFonts w:ascii="Calibri" w:hAnsi="Calibri" w:cs="Calibri"/>
          <w:lang w:val="en-US"/>
        </w:rPr>
        <w:t xml:space="preserve">, S. E. (2004). Novel Total Antioxidant Capacity Index for Dietary Polyphenols and Vitamins C and E, Using Their Cupric Ion Reducing Capability in the Presence of Neocuproine: CUPRAC Method. </w:t>
      </w:r>
      <w:r w:rsidRPr="0091342C">
        <w:rPr>
          <w:rFonts w:ascii="Calibri" w:hAnsi="Calibri" w:cs="Calibri"/>
          <w:i/>
          <w:iCs/>
          <w:lang w:val="en-US"/>
        </w:rPr>
        <w:t>Journal of Agricultural and Food Chemistry</w:t>
      </w:r>
      <w:r w:rsidRPr="0091342C">
        <w:rPr>
          <w:rFonts w:ascii="Calibri" w:hAnsi="Calibri" w:cs="Calibri"/>
          <w:lang w:val="en-US"/>
        </w:rPr>
        <w:t xml:space="preserve">, </w:t>
      </w:r>
      <w:r w:rsidRPr="0091342C">
        <w:rPr>
          <w:rFonts w:ascii="Calibri" w:hAnsi="Calibri" w:cs="Calibri"/>
          <w:i/>
          <w:iCs/>
          <w:lang w:val="en-US"/>
        </w:rPr>
        <w:t>52</w:t>
      </w:r>
      <w:r w:rsidRPr="0091342C">
        <w:rPr>
          <w:rFonts w:ascii="Calibri" w:hAnsi="Calibri" w:cs="Calibri"/>
          <w:lang w:val="en-US"/>
        </w:rPr>
        <w:t>(26), 7970–7981. https://doi.org/10.1021/jf048741x</w:t>
      </w:r>
    </w:p>
    <w:p w:rsidR="00153843" w:rsidRPr="0091342C" w:rsidRDefault="00153843" w:rsidP="00153843">
      <w:pPr>
        <w:pStyle w:val="Bibliografa"/>
        <w:spacing w:after="120" w:line="240" w:lineRule="auto"/>
        <w:rPr>
          <w:rFonts w:ascii="Calibri" w:hAnsi="Calibri" w:cs="Calibri"/>
          <w:lang w:val="en-US"/>
        </w:rPr>
      </w:pPr>
      <w:r w:rsidRPr="0091342C">
        <w:rPr>
          <w:rFonts w:ascii="Calibri" w:hAnsi="Calibri" w:cs="Calibri"/>
          <w:lang w:val="en-US"/>
        </w:rPr>
        <w:t xml:space="preserve">Lee, W. Y., Park, E.-J., &amp; </w:t>
      </w:r>
      <w:proofErr w:type="spellStart"/>
      <w:r w:rsidRPr="0091342C">
        <w:rPr>
          <w:rFonts w:ascii="Calibri" w:hAnsi="Calibri" w:cs="Calibri"/>
          <w:lang w:val="en-US"/>
        </w:rPr>
        <w:t>Ahn</w:t>
      </w:r>
      <w:proofErr w:type="spellEnd"/>
      <w:r w:rsidRPr="0091342C">
        <w:rPr>
          <w:rFonts w:ascii="Calibri" w:hAnsi="Calibri" w:cs="Calibri"/>
          <w:lang w:val="en-US"/>
        </w:rPr>
        <w:t xml:space="preserve">, J. K. (2009). Supplementation of Methionine Enhanced the Ergothioneine Accumulation in the </w:t>
      </w:r>
      <w:proofErr w:type="spellStart"/>
      <w:r w:rsidRPr="0091342C">
        <w:rPr>
          <w:rFonts w:ascii="Calibri" w:hAnsi="Calibri" w:cs="Calibri"/>
          <w:lang w:val="en-US"/>
        </w:rPr>
        <w:t>Ganoderma</w:t>
      </w:r>
      <w:proofErr w:type="spellEnd"/>
      <w:r w:rsidRPr="0091342C">
        <w:rPr>
          <w:rFonts w:ascii="Calibri" w:hAnsi="Calibri" w:cs="Calibri"/>
          <w:lang w:val="en-US"/>
        </w:rPr>
        <w:t xml:space="preserve"> neo-</w:t>
      </w:r>
      <w:proofErr w:type="spellStart"/>
      <w:r w:rsidRPr="0091342C">
        <w:rPr>
          <w:rFonts w:ascii="Calibri" w:hAnsi="Calibri" w:cs="Calibri"/>
          <w:lang w:val="en-US"/>
        </w:rPr>
        <w:t>japonicum</w:t>
      </w:r>
      <w:proofErr w:type="spellEnd"/>
      <w:r w:rsidRPr="0091342C">
        <w:rPr>
          <w:rFonts w:ascii="Calibri" w:hAnsi="Calibri" w:cs="Calibri"/>
          <w:lang w:val="en-US"/>
        </w:rPr>
        <w:t xml:space="preserve"> Mycelia. </w:t>
      </w:r>
      <w:r w:rsidRPr="0091342C">
        <w:rPr>
          <w:rFonts w:ascii="Calibri" w:hAnsi="Calibri" w:cs="Calibri"/>
          <w:i/>
          <w:iCs/>
          <w:lang w:val="en-US"/>
        </w:rPr>
        <w:t>Applied Biochemistry and Biotechnology</w:t>
      </w:r>
      <w:r w:rsidRPr="0091342C">
        <w:rPr>
          <w:rFonts w:ascii="Calibri" w:hAnsi="Calibri" w:cs="Calibri"/>
          <w:lang w:val="en-US"/>
        </w:rPr>
        <w:t xml:space="preserve">, </w:t>
      </w:r>
      <w:r w:rsidRPr="0091342C">
        <w:rPr>
          <w:rFonts w:ascii="Calibri" w:hAnsi="Calibri" w:cs="Calibri"/>
          <w:i/>
          <w:iCs/>
          <w:lang w:val="en-US"/>
        </w:rPr>
        <w:t>158</w:t>
      </w:r>
      <w:r w:rsidRPr="0091342C">
        <w:rPr>
          <w:rFonts w:ascii="Calibri" w:hAnsi="Calibri" w:cs="Calibri"/>
          <w:lang w:val="en-US"/>
        </w:rPr>
        <w:t>(1), 213–221. https://doi.org/10.1007/s12010-008-8322-0</w:t>
      </w:r>
    </w:p>
    <w:p w:rsidR="00153843" w:rsidRPr="0091342C" w:rsidRDefault="00153843" w:rsidP="00153843">
      <w:pPr>
        <w:pStyle w:val="Bibliografa"/>
        <w:spacing w:after="120" w:line="240" w:lineRule="auto"/>
        <w:rPr>
          <w:rFonts w:ascii="Calibri" w:hAnsi="Calibri" w:cs="Calibri"/>
          <w:lang w:val="en-US"/>
        </w:rPr>
      </w:pPr>
      <w:r w:rsidRPr="0091342C">
        <w:rPr>
          <w:rFonts w:ascii="Calibri" w:hAnsi="Calibri" w:cs="Calibri"/>
          <w:lang w:val="en-US"/>
        </w:rPr>
        <w:lastRenderedPageBreak/>
        <w:t xml:space="preserve">Pascual, M. M., Herbert, L. T., Campos, M., </w:t>
      </w:r>
      <w:proofErr w:type="spellStart"/>
      <w:r w:rsidRPr="0091342C">
        <w:rPr>
          <w:rFonts w:ascii="Calibri" w:hAnsi="Calibri" w:cs="Calibri"/>
          <w:lang w:val="en-US"/>
        </w:rPr>
        <w:t>Jurski</w:t>
      </w:r>
      <w:proofErr w:type="spellEnd"/>
      <w:r w:rsidRPr="0091342C">
        <w:rPr>
          <w:rFonts w:ascii="Calibri" w:hAnsi="Calibri" w:cs="Calibri"/>
          <w:lang w:val="en-US"/>
        </w:rPr>
        <w:t xml:space="preserve">, V., </w:t>
      </w:r>
      <w:proofErr w:type="spellStart"/>
      <w:r w:rsidRPr="0091342C">
        <w:rPr>
          <w:rFonts w:ascii="Calibri" w:hAnsi="Calibri" w:cs="Calibri"/>
          <w:lang w:val="en-US"/>
        </w:rPr>
        <w:t>Painefilú</w:t>
      </w:r>
      <w:proofErr w:type="spellEnd"/>
      <w:r w:rsidRPr="0091342C">
        <w:rPr>
          <w:rFonts w:ascii="Calibri" w:hAnsi="Calibri" w:cs="Calibri"/>
          <w:lang w:val="en-US"/>
        </w:rPr>
        <w:t xml:space="preserve">, J. C., &amp; </w:t>
      </w:r>
      <w:proofErr w:type="spellStart"/>
      <w:r w:rsidRPr="0091342C">
        <w:rPr>
          <w:rFonts w:ascii="Calibri" w:hAnsi="Calibri" w:cs="Calibri"/>
          <w:lang w:val="en-US"/>
        </w:rPr>
        <w:t>Luquet</w:t>
      </w:r>
      <w:proofErr w:type="spellEnd"/>
      <w:r w:rsidRPr="0091342C">
        <w:rPr>
          <w:rFonts w:ascii="Calibri" w:hAnsi="Calibri" w:cs="Calibri"/>
          <w:lang w:val="en-US"/>
        </w:rPr>
        <w:t xml:space="preserve">, C. M. (2025). Nutritional improvement of wheat grains and soybeans by solid-state fermentation with Pleurotus ostreatus mycelium. </w:t>
      </w:r>
      <w:r w:rsidRPr="0091342C">
        <w:rPr>
          <w:rFonts w:ascii="Calibri" w:hAnsi="Calibri" w:cs="Calibri"/>
          <w:i/>
          <w:iCs/>
          <w:lang w:val="en-US"/>
        </w:rPr>
        <w:t>Innovative Food Science &amp; Emerging Technologies</w:t>
      </w:r>
      <w:r w:rsidRPr="0091342C">
        <w:rPr>
          <w:rFonts w:ascii="Calibri" w:hAnsi="Calibri" w:cs="Calibri"/>
          <w:lang w:val="en-US"/>
        </w:rPr>
        <w:t xml:space="preserve">, </w:t>
      </w:r>
      <w:r w:rsidRPr="0091342C">
        <w:rPr>
          <w:rFonts w:ascii="Calibri" w:hAnsi="Calibri" w:cs="Calibri"/>
          <w:i/>
          <w:iCs/>
          <w:lang w:val="en-US"/>
        </w:rPr>
        <w:t>102</w:t>
      </w:r>
      <w:r w:rsidRPr="0091342C">
        <w:rPr>
          <w:rFonts w:ascii="Calibri" w:hAnsi="Calibri" w:cs="Calibri"/>
          <w:lang w:val="en-US"/>
        </w:rPr>
        <w:t>, 104021. https://doi.org/10.1016/j.ifset.2025.104021</w:t>
      </w:r>
    </w:p>
    <w:p w:rsidR="00153843" w:rsidRPr="0091342C" w:rsidRDefault="00153843" w:rsidP="00153843">
      <w:pPr>
        <w:pStyle w:val="Bibliografa"/>
        <w:spacing w:after="120" w:line="240" w:lineRule="auto"/>
        <w:rPr>
          <w:rFonts w:ascii="Calibri" w:hAnsi="Calibri" w:cs="Calibri"/>
          <w:lang w:val="en-US"/>
        </w:rPr>
      </w:pPr>
      <w:r w:rsidRPr="0091342C">
        <w:rPr>
          <w:rFonts w:ascii="Calibri" w:hAnsi="Calibri" w:cs="Calibri"/>
          <w:lang w:val="en-US"/>
        </w:rPr>
        <w:t xml:space="preserve">Pascual, M. M., </w:t>
      </w:r>
      <w:proofErr w:type="spellStart"/>
      <w:r w:rsidRPr="0091342C">
        <w:rPr>
          <w:rFonts w:ascii="Calibri" w:hAnsi="Calibri" w:cs="Calibri"/>
          <w:lang w:val="en-US"/>
        </w:rPr>
        <w:t>Painefilú</w:t>
      </w:r>
      <w:proofErr w:type="spellEnd"/>
      <w:r w:rsidRPr="0091342C">
        <w:rPr>
          <w:rFonts w:ascii="Calibri" w:hAnsi="Calibri" w:cs="Calibri"/>
          <w:lang w:val="en-US"/>
        </w:rPr>
        <w:t xml:space="preserve">, J. C., </w:t>
      </w:r>
      <w:proofErr w:type="spellStart"/>
      <w:r w:rsidRPr="0091342C">
        <w:rPr>
          <w:rFonts w:ascii="Calibri" w:hAnsi="Calibri" w:cs="Calibri"/>
          <w:lang w:val="en-US"/>
        </w:rPr>
        <w:t>Ranalli</w:t>
      </w:r>
      <w:proofErr w:type="spellEnd"/>
      <w:r w:rsidRPr="0091342C">
        <w:rPr>
          <w:rFonts w:ascii="Calibri" w:hAnsi="Calibri" w:cs="Calibri"/>
          <w:lang w:val="en-US"/>
        </w:rPr>
        <w:t xml:space="preserve">, N., Santos, M. V., </w:t>
      </w:r>
      <w:proofErr w:type="spellStart"/>
      <w:r w:rsidRPr="0091342C">
        <w:rPr>
          <w:rFonts w:ascii="Calibri" w:hAnsi="Calibri" w:cs="Calibri"/>
          <w:lang w:val="en-US"/>
        </w:rPr>
        <w:t>Langenheim</w:t>
      </w:r>
      <w:proofErr w:type="spellEnd"/>
      <w:r w:rsidRPr="0091342C">
        <w:rPr>
          <w:rFonts w:ascii="Calibri" w:hAnsi="Calibri" w:cs="Calibri"/>
          <w:lang w:val="en-US"/>
        </w:rPr>
        <w:t xml:space="preserve">, M. E., Campos, M., </w:t>
      </w:r>
      <w:proofErr w:type="spellStart"/>
      <w:r w:rsidRPr="0091342C">
        <w:rPr>
          <w:rFonts w:ascii="Calibri" w:hAnsi="Calibri" w:cs="Calibri"/>
          <w:lang w:val="en-US"/>
        </w:rPr>
        <w:t>Jurski</w:t>
      </w:r>
      <w:proofErr w:type="spellEnd"/>
      <w:r w:rsidRPr="0091342C">
        <w:rPr>
          <w:rFonts w:ascii="Calibri" w:hAnsi="Calibri" w:cs="Calibri"/>
          <w:lang w:val="en-US"/>
        </w:rPr>
        <w:t xml:space="preserve">, V., &amp; </w:t>
      </w:r>
      <w:proofErr w:type="spellStart"/>
      <w:r w:rsidRPr="0091342C">
        <w:rPr>
          <w:rFonts w:ascii="Calibri" w:hAnsi="Calibri" w:cs="Calibri"/>
          <w:lang w:val="en-US"/>
        </w:rPr>
        <w:t>Luquet</w:t>
      </w:r>
      <w:proofErr w:type="spellEnd"/>
      <w:r w:rsidRPr="0091342C">
        <w:rPr>
          <w:rFonts w:ascii="Calibri" w:hAnsi="Calibri" w:cs="Calibri"/>
          <w:lang w:val="en-US"/>
        </w:rPr>
        <w:t xml:space="preserve">, C. M. (2026). Revalorization of brewer’s spent grain through solid-state fermentation with Pleurotus ostreatus. </w:t>
      </w:r>
      <w:r w:rsidRPr="0091342C">
        <w:rPr>
          <w:rFonts w:ascii="Calibri" w:hAnsi="Calibri" w:cs="Calibri"/>
          <w:i/>
          <w:iCs/>
          <w:lang w:val="en-US"/>
        </w:rPr>
        <w:t>Food and Humanity</w:t>
      </w:r>
      <w:r w:rsidRPr="0091342C">
        <w:rPr>
          <w:rFonts w:ascii="Calibri" w:hAnsi="Calibri" w:cs="Calibri"/>
          <w:lang w:val="en-US"/>
        </w:rPr>
        <w:t xml:space="preserve">, </w:t>
      </w:r>
      <w:r w:rsidRPr="0091342C">
        <w:rPr>
          <w:rFonts w:ascii="Calibri" w:hAnsi="Calibri" w:cs="Calibri"/>
          <w:i/>
          <w:iCs/>
          <w:lang w:val="en-US"/>
        </w:rPr>
        <w:t>6</w:t>
      </w:r>
      <w:r w:rsidRPr="0091342C">
        <w:rPr>
          <w:rFonts w:ascii="Calibri" w:hAnsi="Calibri" w:cs="Calibri"/>
          <w:lang w:val="en-US"/>
        </w:rPr>
        <w:t>, 100984. https://doi.org/10.1016/j.foohum.2025.100984</w:t>
      </w:r>
    </w:p>
    <w:p w:rsidR="00153843" w:rsidRPr="0091342C" w:rsidRDefault="00153843" w:rsidP="00153843">
      <w:pPr>
        <w:pStyle w:val="Bibliografa"/>
        <w:spacing w:after="120" w:line="240" w:lineRule="auto"/>
        <w:rPr>
          <w:rFonts w:ascii="Calibri" w:hAnsi="Calibri" w:cs="Calibri"/>
          <w:lang w:val="en-US"/>
        </w:rPr>
      </w:pPr>
      <w:r w:rsidRPr="0091342C">
        <w:rPr>
          <w:rFonts w:ascii="Calibri" w:hAnsi="Calibri" w:cs="Calibri"/>
          <w:lang w:val="en-US"/>
        </w:rPr>
        <w:t>Sánchez-Rangel, J. C., Benavides, J., Heredia, J. B., Cisneros-</w:t>
      </w:r>
      <w:proofErr w:type="spellStart"/>
      <w:r w:rsidRPr="0091342C">
        <w:rPr>
          <w:rFonts w:ascii="Calibri" w:hAnsi="Calibri" w:cs="Calibri"/>
          <w:lang w:val="en-US"/>
        </w:rPr>
        <w:t>Zevallos</w:t>
      </w:r>
      <w:proofErr w:type="spellEnd"/>
      <w:r w:rsidRPr="0091342C">
        <w:rPr>
          <w:rFonts w:ascii="Calibri" w:hAnsi="Calibri" w:cs="Calibri"/>
          <w:lang w:val="en-US"/>
        </w:rPr>
        <w:t xml:space="preserve">, L., &amp; </w:t>
      </w:r>
      <w:proofErr w:type="spellStart"/>
      <w:r w:rsidRPr="0091342C">
        <w:rPr>
          <w:rFonts w:ascii="Calibri" w:hAnsi="Calibri" w:cs="Calibri"/>
          <w:lang w:val="en-US"/>
        </w:rPr>
        <w:t>Jacobo</w:t>
      </w:r>
      <w:proofErr w:type="spellEnd"/>
      <w:r w:rsidRPr="0091342C">
        <w:rPr>
          <w:rFonts w:ascii="Calibri" w:hAnsi="Calibri" w:cs="Calibri"/>
          <w:lang w:val="en-US"/>
        </w:rPr>
        <w:t xml:space="preserve">-Velázquez, D. A. (2013). The </w:t>
      </w:r>
      <w:proofErr w:type="spellStart"/>
      <w:r w:rsidRPr="0091342C">
        <w:rPr>
          <w:rFonts w:ascii="Calibri" w:hAnsi="Calibri" w:cs="Calibri"/>
          <w:lang w:val="en-US"/>
        </w:rPr>
        <w:t>Folin</w:t>
      </w:r>
      <w:proofErr w:type="spellEnd"/>
      <w:r w:rsidRPr="0091342C">
        <w:rPr>
          <w:rFonts w:ascii="Calibri" w:hAnsi="Calibri" w:cs="Calibri"/>
          <w:lang w:val="en-US"/>
        </w:rPr>
        <w:t>–</w:t>
      </w:r>
      <w:proofErr w:type="spellStart"/>
      <w:r w:rsidRPr="0091342C">
        <w:rPr>
          <w:rFonts w:ascii="Calibri" w:hAnsi="Calibri" w:cs="Calibri"/>
          <w:lang w:val="en-US"/>
        </w:rPr>
        <w:t>Ciocalteu</w:t>
      </w:r>
      <w:proofErr w:type="spellEnd"/>
      <w:r w:rsidRPr="0091342C">
        <w:rPr>
          <w:rFonts w:ascii="Calibri" w:hAnsi="Calibri" w:cs="Calibri"/>
          <w:lang w:val="en-US"/>
        </w:rPr>
        <w:t xml:space="preserve"> assay revisited: Improvement of its specificity for total phenolic content determination. </w:t>
      </w:r>
      <w:r w:rsidRPr="0091342C">
        <w:rPr>
          <w:rFonts w:ascii="Calibri" w:hAnsi="Calibri" w:cs="Calibri"/>
          <w:i/>
          <w:iCs/>
          <w:lang w:val="en-US"/>
        </w:rPr>
        <w:t>Analytical Methods</w:t>
      </w:r>
      <w:r w:rsidRPr="0091342C">
        <w:rPr>
          <w:rFonts w:ascii="Calibri" w:hAnsi="Calibri" w:cs="Calibri"/>
          <w:lang w:val="en-US"/>
        </w:rPr>
        <w:t xml:space="preserve">, </w:t>
      </w:r>
      <w:r w:rsidRPr="0091342C">
        <w:rPr>
          <w:rFonts w:ascii="Calibri" w:hAnsi="Calibri" w:cs="Calibri"/>
          <w:i/>
          <w:iCs/>
          <w:lang w:val="en-US"/>
        </w:rPr>
        <w:t>5</w:t>
      </w:r>
      <w:r w:rsidRPr="0091342C">
        <w:rPr>
          <w:rFonts w:ascii="Calibri" w:hAnsi="Calibri" w:cs="Calibri"/>
          <w:lang w:val="en-US"/>
        </w:rPr>
        <w:t>(21), 5990. https://doi.org/10.1039/c3ay41125g</w:t>
      </w:r>
    </w:p>
    <w:p w:rsidR="00153843" w:rsidRPr="0091342C" w:rsidRDefault="00153843" w:rsidP="00153843">
      <w:pPr>
        <w:pStyle w:val="Bibliografa"/>
        <w:spacing w:after="120" w:line="240" w:lineRule="auto"/>
        <w:rPr>
          <w:rFonts w:ascii="Calibri" w:hAnsi="Calibri" w:cs="Calibri"/>
          <w:lang w:val="en-US"/>
        </w:rPr>
      </w:pPr>
      <w:proofErr w:type="spellStart"/>
      <w:r w:rsidRPr="0091342C">
        <w:rPr>
          <w:rFonts w:ascii="Calibri" w:hAnsi="Calibri" w:cs="Calibri"/>
          <w:lang w:val="en-US"/>
        </w:rPr>
        <w:t>Tufan</w:t>
      </w:r>
      <w:proofErr w:type="spellEnd"/>
      <w:r w:rsidRPr="0091342C">
        <w:rPr>
          <w:rFonts w:ascii="Calibri" w:hAnsi="Calibri" w:cs="Calibri"/>
          <w:lang w:val="en-US"/>
        </w:rPr>
        <w:t xml:space="preserve">, A. N., </w:t>
      </w:r>
      <w:proofErr w:type="spellStart"/>
      <w:r w:rsidRPr="0091342C">
        <w:rPr>
          <w:rFonts w:ascii="Calibri" w:hAnsi="Calibri" w:cs="Calibri"/>
          <w:lang w:val="en-US"/>
        </w:rPr>
        <w:t>Çelik</w:t>
      </w:r>
      <w:proofErr w:type="spellEnd"/>
      <w:r w:rsidRPr="0091342C">
        <w:rPr>
          <w:rFonts w:ascii="Calibri" w:hAnsi="Calibri" w:cs="Calibri"/>
          <w:lang w:val="en-US"/>
        </w:rPr>
        <w:t xml:space="preserve">, S. E., </w:t>
      </w:r>
      <w:proofErr w:type="spellStart"/>
      <w:r w:rsidRPr="0091342C">
        <w:rPr>
          <w:rFonts w:ascii="Calibri" w:hAnsi="Calibri" w:cs="Calibri"/>
          <w:lang w:val="en-US"/>
        </w:rPr>
        <w:t>Özyürek</w:t>
      </w:r>
      <w:proofErr w:type="spellEnd"/>
      <w:r w:rsidRPr="0091342C">
        <w:rPr>
          <w:rFonts w:ascii="Calibri" w:hAnsi="Calibri" w:cs="Calibri"/>
          <w:lang w:val="en-US"/>
        </w:rPr>
        <w:t xml:space="preserve">, M., </w:t>
      </w:r>
      <w:proofErr w:type="spellStart"/>
      <w:r w:rsidRPr="0091342C">
        <w:rPr>
          <w:rFonts w:ascii="Calibri" w:hAnsi="Calibri" w:cs="Calibri"/>
          <w:lang w:val="en-US"/>
        </w:rPr>
        <w:t>Güçlü</w:t>
      </w:r>
      <w:proofErr w:type="spellEnd"/>
      <w:r w:rsidRPr="0091342C">
        <w:rPr>
          <w:rFonts w:ascii="Calibri" w:hAnsi="Calibri" w:cs="Calibri"/>
          <w:lang w:val="en-US"/>
        </w:rPr>
        <w:t xml:space="preserve">, K., &amp; </w:t>
      </w:r>
      <w:proofErr w:type="spellStart"/>
      <w:r w:rsidRPr="0091342C">
        <w:rPr>
          <w:rFonts w:ascii="Calibri" w:hAnsi="Calibri" w:cs="Calibri"/>
          <w:lang w:val="en-US"/>
        </w:rPr>
        <w:t>Apak</w:t>
      </w:r>
      <w:proofErr w:type="spellEnd"/>
      <w:r w:rsidRPr="0091342C">
        <w:rPr>
          <w:rFonts w:ascii="Calibri" w:hAnsi="Calibri" w:cs="Calibri"/>
          <w:lang w:val="en-US"/>
        </w:rPr>
        <w:t xml:space="preserve">, R. (2013). Direct measurement of total antioxidant capacity of cereals: QUENCHER-CUPRAC method. </w:t>
      </w:r>
      <w:proofErr w:type="spellStart"/>
      <w:r w:rsidRPr="0091342C">
        <w:rPr>
          <w:rFonts w:ascii="Calibri" w:hAnsi="Calibri" w:cs="Calibri"/>
          <w:i/>
          <w:iCs/>
          <w:lang w:val="en-US"/>
        </w:rPr>
        <w:t>Talanta</w:t>
      </w:r>
      <w:proofErr w:type="spellEnd"/>
      <w:r w:rsidRPr="0091342C">
        <w:rPr>
          <w:rFonts w:ascii="Calibri" w:hAnsi="Calibri" w:cs="Calibri"/>
          <w:lang w:val="en-US"/>
        </w:rPr>
        <w:t xml:space="preserve">, </w:t>
      </w:r>
      <w:r w:rsidRPr="0091342C">
        <w:rPr>
          <w:rFonts w:ascii="Calibri" w:hAnsi="Calibri" w:cs="Calibri"/>
          <w:i/>
          <w:iCs/>
          <w:lang w:val="en-US"/>
        </w:rPr>
        <w:t>108</w:t>
      </w:r>
      <w:r w:rsidRPr="0091342C">
        <w:rPr>
          <w:rFonts w:ascii="Calibri" w:hAnsi="Calibri" w:cs="Calibri"/>
          <w:lang w:val="en-US"/>
        </w:rPr>
        <w:t>, 136–142. https://doi.org/10.1016/j.talanta.2013.02.061</w:t>
      </w:r>
    </w:p>
    <w:p w:rsidR="00153843" w:rsidRPr="0091342C" w:rsidRDefault="00153843" w:rsidP="00153843">
      <w:pPr>
        <w:spacing w:after="120" w:line="240" w:lineRule="auto"/>
        <w:rPr>
          <w:rFonts w:cstheme="minorHAnsi"/>
          <w:lang w:val="en-US"/>
        </w:rPr>
      </w:pPr>
      <w:r w:rsidRPr="0091342C">
        <w:rPr>
          <w:rFonts w:cstheme="minorHAnsi"/>
          <w:lang w:val="en-US"/>
        </w:rPr>
        <w:fldChar w:fldCharType="end"/>
      </w:r>
    </w:p>
    <w:sectPr w:rsidR="00153843" w:rsidRPr="009134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C4"/>
    <w:rsid w:val="000A7FC4"/>
    <w:rsid w:val="000B778F"/>
    <w:rsid w:val="00153843"/>
    <w:rsid w:val="001610B0"/>
    <w:rsid w:val="00204356"/>
    <w:rsid w:val="00282BB1"/>
    <w:rsid w:val="00316AAC"/>
    <w:rsid w:val="003A67D2"/>
    <w:rsid w:val="00402420"/>
    <w:rsid w:val="004F56E0"/>
    <w:rsid w:val="00530B0B"/>
    <w:rsid w:val="00616128"/>
    <w:rsid w:val="006301B3"/>
    <w:rsid w:val="0070568B"/>
    <w:rsid w:val="00850A37"/>
    <w:rsid w:val="008828E2"/>
    <w:rsid w:val="008F6755"/>
    <w:rsid w:val="0091342C"/>
    <w:rsid w:val="00975ED3"/>
    <w:rsid w:val="009B1112"/>
    <w:rsid w:val="009B1F54"/>
    <w:rsid w:val="00A127A5"/>
    <w:rsid w:val="00B04B78"/>
    <w:rsid w:val="00C33FEB"/>
    <w:rsid w:val="00E31BFE"/>
    <w:rsid w:val="00FB25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EED8"/>
  <w15:chartTrackingRefBased/>
  <w15:docId w15:val="{AD8FD1E2-898A-497C-97B3-05E999F2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70568B"/>
    <w:pPr>
      <w:spacing w:after="200" w:line="240" w:lineRule="auto"/>
      <w:jc w:val="center"/>
    </w:pPr>
    <w:rPr>
      <w:rFonts w:ascii="Times New Roman" w:eastAsia="Calibri" w:hAnsi="Times New Roman" w:cs="Times New Roman"/>
      <w:bCs/>
      <w:lang w:val="en-US" w:eastAsia="es-ES"/>
    </w:rPr>
  </w:style>
  <w:style w:type="paragraph" w:styleId="Textodeglobo">
    <w:name w:val="Balloon Text"/>
    <w:basedOn w:val="Normal"/>
    <w:link w:val="TextodegloboCar"/>
    <w:uiPriority w:val="99"/>
    <w:semiHidden/>
    <w:unhideWhenUsed/>
    <w:rsid w:val="00E31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1BFE"/>
    <w:rPr>
      <w:rFonts w:ascii="Segoe UI" w:hAnsi="Segoe UI" w:cs="Segoe UI"/>
      <w:sz w:val="18"/>
      <w:szCs w:val="18"/>
    </w:rPr>
  </w:style>
  <w:style w:type="paragraph" w:styleId="Bibliografa">
    <w:name w:val="Bibliography"/>
    <w:basedOn w:val="Normal"/>
    <w:next w:val="Normal"/>
    <w:uiPriority w:val="37"/>
    <w:unhideWhenUsed/>
    <w:rsid w:val="00153843"/>
    <w:pPr>
      <w:spacing w:after="0" w:line="480" w:lineRule="auto"/>
      <w:ind w:left="720" w:hanging="720"/>
    </w:pPr>
  </w:style>
  <w:style w:type="character" w:styleId="Refdecomentario">
    <w:name w:val="annotation reference"/>
    <w:basedOn w:val="Fuentedeprrafopredeter"/>
    <w:uiPriority w:val="99"/>
    <w:semiHidden/>
    <w:unhideWhenUsed/>
    <w:rsid w:val="00B04B78"/>
    <w:rPr>
      <w:sz w:val="16"/>
      <w:szCs w:val="16"/>
    </w:rPr>
  </w:style>
  <w:style w:type="paragraph" w:styleId="Textocomentario">
    <w:name w:val="annotation text"/>
    <w:basedOn w:val="Normal"/>
    <w:link w:val="TextocomentarioCar"/>
    <w:uiPriority w:val="99"/>
    <w:semiHidden/>
    <w:unhideWhenUsed/>
    <w:rsid w:val="00B04B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4B78"/>
    <w:rPr>
      <w:sz w:val="20"/>
      <w:szCs w:val="20"/>
    </w:rPr>
  </w:style>
  <w:style w:type="paragraph" w:styleId="Asuntodelcomentario">
    <w:name w:val="annotation subject"/>
    <w:basedOn w:val="Textocomentario"/>
    <w:next w:val="Textocomentario"/>
    <w:link w:val="AsuntodelcomentarioCar"/>
    <w:uiPriority w:val="99"/>
    <w:semiHidden/>
    <w:unhideWhenUsed/>
    <w:rsid w:val="00B04B78"/>
    <w:rPr>
      <w:b/>
      <w:bCs/>
    </w:rPr>
  </w:style>
  <w:style w:type="character" w:customStyle="1" w:styleId="AsuntodelcomentarioCar">
    <w:name w:val="Asunto del comentario Car"/>
    <w:basedOn w:val="TextocomentarioCar"/>
    <w:link w:val="Asuntodelcomentario"/>
    <w:uiPriority w:val="99"/>
    <w:semiHidden/>
    <w:rsid w:val="00B04B78"/>
    <w:rPr>
      <w:b/>
      <w:bCs/>
      <w:sz w:val="20"/>
      <w:szCs w:val="20"/>
    </w:rPr>
  </w:style>
  <w:style w:type="character" w:styleId="nfasis">
    <w:name w:val="Emphasis"/>
    <w:basedOn w:val="Fuentedeprrafopredeter"/>
    <w:uiPriority w:val="20"/>
    <w:qFormat/>
    <w:rsid w:val="00B04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1655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2026-05-04T19:55:00Z</dcterms:created>
  <dcterms:modified xsi:type="dcterms:W3CDTF">2026-05-04T19:58:00Z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zotero-version="7.0.31"&gt;&lt;session id="5BaSFhFh"/&gt;&lt;style id="http://www.zotero.org/styles/apa" locale="en-US" hasBibliography="1" bibliographyStyleHasBeenSet="1"/&gt;&lt;prefs&gt;&lt;pref name="fieldType" value="Field"/&gt;&lt;/prefs&gt;&lt;/data&gt;</vt:lpwstr>
  </property>
</Properties>
</file>